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Calibri" w:eastAsia="仿宋_GB2312"/>
          <w:color w:val="000000"/>
          <w:sz w:val="32"/>
          <w:szCs w:val="32"/>
          <w:lang w:eastAsia="zh-CN"/>
        </w:rPr>
      </w:pPr>
      <w:bookmarkStart w:id="1" w:name="_GoBack"/>
      <w:bookmarkStart w:id="0" w:name="_Toc302133982"/>
      <w:r>
        <w:rPr>
          <w:rFonts w:hint="eastAsia" w:ascii="仿宋_GB2312" w:hAnsi="Calibri" w:eastAsia="仿宋_GB2312"/>
          <w:color w:val="000000"/>
          <w:sz w:val="32"/>
          <w:szCs w:val="32"/>
          <w:lang w:eastAsia="zh-CN"/>
        </w:rPr>
        <w:drawing>
          <wp:inline distT="0" distB="0" distL="114300" distR="114300">
            <wp:extent cx="5542915" cy="7835265"/>
            <wp:effectExtent l="0" t="0" r="635" b="13335"/>
            <wp:docPr id="5" name="图片 5" descr="img20190910_2030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20190910_20301784"/>
                    <pic:cNvPicPr>
                      <a:picLocks noChangeAspect="1"/>
                    </pic:cNvPicPr>
                  </pic:nvPicPr>
                  <pic:blipFill>
                    <a:blip r:embed="rId4"/>
                    <a:stretch>
                      <a:fillRect/>
                    </a:stretch>
                  </pic:blipFill>
                  <pic:spPr>
                    <a:xfrm>
                      <a:off x="0" y="0"/>
                      <a:ext cx="5542915" cy="7835265"/>
                    </a:xfrm>
                    <a:prstGeom prst="rect">
                      <a:avLst/>
                    </a:prstGeom>
                  </pic:spPr>
                </pic:pic>
              </a:graphicData>
            </a:graphic>
          </wp:inline>
        </w:drawing>
      </w:r>
      <w:bookmarkEnd w:id="1"/>
      <w:r>
        <w:rPr>
          <w:rFonts w:hint="eastAsia" w:ascii="仿宋_GB2312" w:hAnsi="Calibri" w:eastAsia="仿宋_GB2312"/>
          <w:color w:val="000000"/>
          <w:sz w:val="32"/>
          <w:szCs w:val="32"/>
          <w:lang w:eastAsia="zh-CN"/>
        </w:rPr>
        <w:t>附件：</w:t>
      </w:r>
    </w:p>
    <w:p>
      <w:pPr>
        <w:adjustRightInd w:val="0"/>
        <w:snapToGrid w:val="0"/>
        <w:spacing w:line="56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上海外国语大学贤达经济人文学院</w:t>
      </w:r>
    </w:p>
    <w:p>
      <w:pPr>
        <w:adjustRightInd w:val="0"/>
        <w:snapToGrid w:val="0"/>
        <w:spacing w:line="56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学生德智体综合测评实施办法</w:t>
      </w:r>
    </w:p>
    <w:p>
      <w:pPr>
        <w:adjustRightInd w:val="0"/>
        <w:snapToGrid w:val="0"/>
        <w:spacing w:line="460" w:lineRule="exact"/>
        <w:jc w:val="center"/>
        <w:rPr>
          <w:rFonts w:hint="eastAsia" w:ascii="方正小标宋_GBK" w:hAnsi="Calibri" w:eastAsia="方正小标宋_GBK"/>
          <w:color w:val="000000"/>
          <w:sz w:val="32"/>
          <w:szCs w:val="32"/>
          <w:lang w:eastAsia="zh-CN"/>
        </w:rPr>
      </w:pPr>
      <w:r>
        <w:rPr>
          <w:rFonts w:hint="eastAsia" w:ascii="方正小标宋_GBK" w:hAnsi="Calibri" w:eastAsia="方正小标宋_GBK"/>
          <w:color w:val="000000"/>
          <w:sz w:val="32"/>
          <w:szCs w:val="32"/>
          <w:lang w:eastAsia="zh-CN"/>
        </w:rPr>
        <w:t>（</w:t>
      </w:r>
      <w:r>
        <w:rPr>
          <w:rFonts w:hint="eastAsia" w:ascii="方正小标宋_GBK" w:hAnsi="Calibri" w:eastAsia="方正小标宋_GBK"/>
          <w:color w:val="000000"/>
          <w:sz w:val="32"/>
          <w:szCs w:val="32"/>
          <w:lang w:val="en-US" w:eastAsia="zh-CN"/>
        </w:rPr>
        <w:t>2019年修订</w:t>
      </w:r>
      <w:r>
        <w:rPr>
          <w:rFonts w:hint="eastAsia" w:ascii="方正小标宋_GBK" w:hAnsi="Calibri" w:eastAsia="方正小标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Calibri" w:eastAsia="仿宋_GB2312"/>
          <w:b/>
          <w:bCs/>
          <w:color w:val="000000"/>
          <w:sz w:val="32"/>
          <w:szCs w:val="32"/>
          <w:lang w:eastAsia="zh-CN"/>
        </w:rPr>
      </w:pPr>
    </w:p>
    <w:bookmarkEnd w:id="0"/>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Calibri" w:eastAsia="仿宋_GB2312"/>
          <w:b/>
          <w:bCs/>
          <w:color w:val="000000"/>
          <w:sz w:val="32"/>
          <w:szCs w:val="32"/>
          <w:lang w:eastAsia="zh-CN"/>
        </w:rPr>
      </w:pPr>
      <w:r>
        <w:rPr>
          <w:rFonts w:hint="eastAsia" w:ascii="仿宋_GB2312" w:hAnsi="Calibri" w:eastAsia="仿宋_GB2312"/>
          <w:b/>
          <w:bCs/>
          <w:color w:val="000000"/>
          <w:sz w:val="32"/>
          <w:szCs w:val="32"/>
          <w:lang w:eastAsia="zh-CN"/>
        </w:rPr>
        <w:t>一、总则</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（一）为全面贯彻党的教育方针，不断提高学生思想水平、政治觉悟、道德品质、文化素养，让学生成为德才兼备、全面发展的人才，特制订本办法。</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二）学生素质综合测评，是按照德、智、体全面发展的基本要求，根据党的教育方针和学校有关规定，采用定性分析和定量记分相结合的方法，对学生在校的表现进行较科学合理的评价，测评学生德、智、体综合成绩。</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（三）综合测评的成绩，作为学生评奖学金、评优以及推荐毕业生就业的主要依据。</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（四）综合测评成绩 = 德育成绩（占总成绩20%） + 智育成绩（占总成绩70%） + 体育成绩（占总成绩10%），总成绩保留两位小数。</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Calibri" w:eastAsia="仿宋_GB2312"/>
          <w:b/>
          <w:bCs/>
          <w:color w:val="000000"/>
          <w:sz w:val="32"/>
          <w:szCs w:val="32"/>
          <w:lang w:eastAsia="zh-CN"/>
        </w:rPr>
      </w:pPr>
      <w:r>
        <w:rPr>
          <w:rFonts w:hint="eastAsia" w:ascii="仿宋_GB2312" w:hAnsi="Calibri" w:eastAsia="仿宋_GB2312"/>
          <w:b/>
          <w:bCs/>
          <w:color w:val="000000"/>
          <w:sz w:val="32"/>
          <w:szCs w:val="32"/>
          <w:lang w:eastAsia="zh-CN"/>
        </w:rPr>
        <w:t>二、德育成绩评分标准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德育成绩（满分 100 分） = 基础分 + 德育奖惩分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（一）基础分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基础分70分，具体要求如下：</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（二）德育奖惩分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德育奖惩分满分30分，具体标准见表一、表二、表三。</w:t>
      </w:r>
    </w:p>
    <w:p>
      <w:pPr>
        <w:keepNext w:val="0"/>
        <w:keepLines w:val="0"/>
        <w:pageBreakBefore w:val="0"/>
        <w:widowControl w:val="0"/>
        <w:kinsoku/>
        <w:wordWrap/>
        <w:overflowPunct/>
        <w:topLinePunct w:val="0"/>
        <w:autoSpaceDE/>
        <w:autoSpaceDN/>
        <w:bidi w:val="0"/>
        <w:adjustRightInd w:val="0"/>
        <w:snapToGrid w:val="0"/>
        <w:spacing w:line="460" w:lineRule="exact"/>
        <w:ind w:firstLine="320" w:firstLineChars="100"/>
        <w:textAlignment w:val="auto"/>
        <w:rPr>
          <w:rFonts w:hint="eastAsia" w:ascii="仿宋_GB2312" w:hAnsi="Calibri" w:eastAsia="仿宋_GB2312"/>
          <w:color w:val="000000"/>
          <w:sz w:val="32"/>
          <w:szCs w:val="32"/>
          <w:lang w:eastAsia="zh-CN"/>
        </w:rPr>
      </w:pPr>
    </w:p>
    <w:p>
      <w:pPr>
        <w:spacing w:line="440" w:lineRule="exact"/>
        <w:jc w:val="center"/>
        <w:rPr>
          <w:b/>
          <w:sz w:val="28"/>
          <w:szCs w:val="28"/>
        </w:rPr>
      </w:pPr>
      <w:r>
        <w:rPr>
          <w:rFonts w:hint="eastAsia"/>
          <w:b/>
          <w:sz w:val="28"/>
          <w:szCs w:val="28"/>
        </w:rPr>
        <w:t>表一：突出事迹奖励分标准</w:t>
      </w:r>
    </w:p>
    <w:tbl>
      <w:tblPr>
        <w:tblStyle w:val="3"/>
        <w:tblW w:w="75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6172"/>
        <w:gridCol w:w="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atLeast"/>
          <w:jc w:val="center"/>
        </w:trPr>
        <w:tc>
          <w:tcPr>
            <w:tcW w:w="720" w:type="dxa"/>
            <w:vAlign w:val="center"/>
          </w:tcPr>
          <w:p>
            <w:pPr>
              <w:pStyle w:val="5"/>
              <w:snapToGrid w:val="0"/>
              <w:spacing w:before="0" w:beforeAutospacing="0" w:after="0" w:afterAutospacing="0"/>
              <w:jc w:val="center"/>
              <w:rPr>
                <w:b/>
                <w:sz w:val="21"/>
                <w:szCs w:val="21"/>
              </w:rPr>
            </w:pPr>
            <w:r>
              <w:rPr>
                <w:rFonts w:hint="eastAsia"/>
                <w:b/>
                <w:sz w:val="21"/>
                <w:szCs w:val="21"/>
              </w:rPr>
              <w:t>项目</w:t>
            </w:r>
          </w:p>
        </w:tc>
        <w:tc>
          <w:tcPr>
            <w:tcW w:w="6172" w:type="dxa"/>
            <w:vAlign w:val="center"/>
          </w:tcPr>
          <w:p>
            <w:pPr>
              <w:pStyle w:val="5"/>
              <w:snapToGrid w:val="0"/>
              <w:spacing w:before="0" w:beforeAutospacing="0" w:after="0" w:afterAutospacing="0"/>
              <w:jc w:val="center"/>
              <w:rPr>
                <w:b/>
                <w:sz w:val="21"/>
                <w:szCs w:val="21"/>
              </w:rPr>
            </w:pPr>
            <w:r>
              <w:rPr>
                <w:rFonts w:hint="eastAsia"/>
                <w:b/>
                <w:sz w:val="21"/>
                <w:szCs w:val="21"/>
              </w:rPr>
              <w:t>奖 励 要 求</w:t>
            </w:r>
          </w:p>
        </w:tc>
        <w:tc>
          <w:tcPr>
            <w:tcW w:w="701" w:type="dxa"/>
            <w:vAlign w:val="center"/>
          </w:tcPr>
          <w:p>
            <w:pPr>
              <w:pStyle w:val="5"/>
              <w:snapToGrid w:val="0"/>
              <w:spacing w:before="0" w:beforeAutospacing="0" w:after="0" w:afterAutospacing="0"/>
              <w:jc w:val="center"/>
              <w:rPr>
                <w:b/>
                <w:sz w:val="21"/>
                <w:szCs w:val="21"/>
              </w:rPr>
            </w:pPr>
            <w:r>
              <w:rPr>
                <w:rFonts w:hint="eastAsia"/>
                <w:b/>
                <w:sz w:val="21"/>
                <w:szCs w:val="21"/>
              </w:rPr>
              <w:t>加分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20" w:type="dxa"/>
            <w:vMerge w:val="restart"/>
            <w:vAlign w:val="center"/>
          </w:tcPr>
          <w:p>
            <w:pPr>
              <w:pStyle w:val="5"/>
              <w:snapToGrid w:val="0"/>
              <w:spacing w:before="0" w:beforeAutospacing="0" w:after="0" w:afterAutospacing="0"/>
              <w:jc w:val="both"/>
              <w:rPr>
                <w:rFonts w:ascii="Times New Roman" w:hAnsi="Times New Roman"/>
                <w:b w:val="0"/>
                <w:bCs w:val="0"/>
                <w:sz w:val="21"/>
                <w:szCs w:val="21"/>
              </w:rPr>
            </w:pPr>
            <w:r>
              <w:rPr>
                <w:rFonts w:ascii="Times New Roman" w:hAnsi="Times New Roman"/>
                <w:b w:val="0"/>
                <w:bCs w:val="0"/>
                <w:sz w:val="21"/>
                <w:szCs w:val="21"/>
              </w:rPr>
              <w:t>突出</w:t>
            </w:r>
          </w:p>
          <w:p>
            <w:pPr>
              <w:pStyle w:val="5"/>
              <w:snapToGrid w:val="0"/>
              <w:spacing w:before="0" w:beforeAutospacing="0" w:after="0" w:afterAutospacing="0"/>
              <w:jc w:val="both"/>
              <w:rPr>
                <w:rFonts w:ascii="Times New Roman" w:hAnsi="Times New Roman"/>
                <w:b w:val="0"/>
                <w:bCs w:val="0"/>
                <w:sz w:val="21"/>
                <w:szCs w:val="21"/>
              </w:rPr>
            </w:pPr>
            <w:r>
              <w:rPr>
                <w:rFonts w:ascii="Times New Roman" w:hAnsi="Times New Roman"/>
                <w:b w:val="0"/>
                <w:bCs w:val="0"/>
                <w:sz w:val="21"/>
                <w:szCs w:val="21"/>
              </w:rPr>
              <w:t>事迹</w:t>
            </w:r>
          </w:p>
        </w:tc>
        <w:tc>
          <w:tcPr>
            <w:tcW w:w="6172" w:type="dxa"/>
            <w:vAlign w:val="center"/>
          </w:tcPr>
          <w:p>
            <w:pPr>
              <w:pStyle w:val="5"/>
              <w:snapToGrid w:val="0"/>
              <w:spacing w:before="0" w:beforeAutospacing="0" w:after="0" w:afterAutospacing="0"/>
              <w:jc w:val="both"/>
              <w:rPr>
                <w:rFonts w:ascii="Times New Roman" w:hAnsi="Times New Roman"/>
                <w:b w:val="0"/>
                <w:bCs w:val="0"/>
                <w:sz w:val="21"/>
                <w:szCs w:val="21"/>
              </w:rPr>
            </w:pPr>
            <w:r>
              <w:rPr>
                <w:rFonts w:ascii="Times New Roman" w:hAnsi="Times New Roman"/>
                <w:b w:val="0"/>
                <w:bCs w:val="0"/>
                <w:sz w:val="21"/>
                <w:szCs w:val="21"/>
              </w:rPr>
              <w:t>1．</w:t>
            </w:r>
            <w:r>
              <w:rPr>
                <w:rFonts w:hint="eastAsia" w:ascii="Times New Roman" w:hAnsi="Times New Roman"/>
                <w:b w:val="0"/>
                <w:bCs w:val="0"/>
                <w:sz w:val="21"/>
                <w:szCs w:val="21"/>
              </w:rPr>
              <w:t>为社会、学校做出突出贡献者（由学校相关部门认定）</w:t>
            </w:r>
          </w:p>
        </w:tc>
        <w:tc>
          <w:tcPr>
            <w:tcW w:w="701" w:type="dxa"/>
            <w:vAlign w:val="center"/>
          </w:tcPr>
          <w:p>
            <w:pPr>
              <w:pStyle w:val="5"/>
              <w:snapToGrid w:val="0"/>
              <w:spacing w:before="0" w:beforeAutospacing="0" w:after="0" w:afterAutospacing="0"/>
              <w:jc w:val="center"/>
              <w:rPr>
                <w:rFonts w:ascii="Times New Roman" w:hAnsi="Times New Roman"/>
                <w:sz w:val="21"/>
                <w:szCs w:val="21"/>
              </w:rPr>
            </w:pPr>
            <w:r>
              <w:rPr>
                <w:rFonts w:hint="eastAsia" w:ascii="Times New Roman" w:hAnsi="Times New Roman"/>
                <w:sz w:val="21"/>
                <w:szCs w:val="21"/>
              </w:rPr>
              <w:t>1</w:t>
            </w:r>
            <w:r>
              <w:rPr>
                <w:rFonts w:hint="eastAsia"/>
                <w:sz w:val="21"/>
                <w:szCs w:val="21"/>
              </w:rPr>
              <w:t>-</w:t>
            </w:r>
            <w:r>
              <w:rPr>
                <w:rFonts w:ascii="Times New Roman" w:hAnsi="Times New Roman"/>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0" w:type="dxa"/>
            <w:vMerge w:val="continue"/>
            <w:vAlign w:val="center"/>
          </w:tcPr>
          <w:p>
            <w:pPr>
              <w:pStyle w:val="5"/>
              <w:snapToGrid w:val="0"/>
              <w:spacing w:before="0" w:beforeAutospacing="0" w:after="0" w:afterAutospacing="0"/>
              <w:jc w:val="both"/>
              <w:rPr>
                <w:rFonts w:ascii="Times New Roman" w:hAnsi="Times New Roman"/>
                <w:b w:val="0"/>
                <w:bCs w:val="0"/>
                <w:sz w:val="21"/>
                <w:szCs w:val="21"/>
              </w:rPr>
            </w:pPr>
          </w:p>
        </w:tc>
        <w:tc>
          <w:tcPr>
            <w:tcW w:w="6172" w:type="dxa"/>
            <w:vAlign w:val="center"/>
          </w:tcPr>
          <w:p>
            <w:pPr>
              <w:pStyle w:val="5"/>
              <w:snapToGrid w:val="0"/>
              <w:spacing w:before="0" w:beforeAutospacing="0" w:after="0" w:afterAutospacing="0"/>
              <w:jc w:val="both"/>
              <w:rPr>
                <w:rFonts w:ascii="Times New Roman" w:hAnsi="Times New Roman"/>
                <w:b w:val="0"/>
                <w:bCs w:val="0"/>
                <w:sz w:val="21"/>
                <w:szCs w:val="21"/>
              </w:rPr>
            </w:pPr>
            <w:r>
              <w:rPr>
                <w:rFonts w:ascii="Times New Roman" w:hAnsi="Times New Roman"/>
                <w:b w:val="0"/>
                <w:bCs w:val="0"/>
                <w:sz w:val="21"/>
                <w:szCs w:val="21"/>
              </w:rPr>
              <w:t>2．积极向党组织靠拢，表现优良</w:t>
            </w:r>
            <w:r>
              <w:rPr>
                <w:rFonts w:hint="eastAsia" w:ascii="Times New Roman" w:hAnsi="Times New Roman"/>
                <w:b w:val="0"/>
                <w:bCs w:val="0"/>
                <w:sz w:val="21"/>
                <w:szCs w:val="21"/>
              </w:rPr>
              <w:t>；学生党员能起到模范带头作用（由学院认定）</w:t>
            </w:r>
          </w:p>
        </w:tc>
        <w:tc>
          <w:tcPr>
            <w:tcW w:w="701" w:type="dxa"/>
            <w:vAlign w:val="center"/>
          </w:tcPr>
          <w:p>
            <w:pPr>
              <w:pStyle w:val="5"/>
              <w:snapToGrid w:val="0"/>
              <w:spacing w:before="0" w:beforeAutospacing="0" w:after="0" w:afterAutospacing="0"/>
              <w:jc w:val="center"/>
              <w:rPr>
                <w:rFonts w:ascii="Times New Roman" w:hAnsi="Times New Roman"/>
                <w:sz w:val="21"/>
                <w:szCs w:val="21"/>
              </w:rPr>
            </w:pPr>
            <w:r>
              <w:rPr>
                <w:rFonts w:hint="eastAsia" w:ascii="Times New Roman" w:hAnsi="Times New Roman"/>
                <w:sz w:val="21"/>
                <w:szCs w:val="21"/>
              </w:rPr>
              <w:t>1</w:t>
            </w:r>
            <w:r>
              <w:rPr>
                <w:rFonts w:ascii="Times New Roman" w:hAnsi="Times New Roman"/>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20" w:type="dxa"/>
            <w:vMerge w:val="continue"/>
            <w:vAlign w:val="center"/>
          </w:tcPr>
          <w:p>
            <w:pPr>
              <w:pStyle w:val="5"/>
              <w:snapToGrid w:val="0"/>
              <w:spacing w:before="0" w:beforeAutospacing="0" w:after="0" w:afterAutospacing="0"/>
              <w:jc w:val="both"/>
              <w:rPr>
                <w:rFonts w:ascii="Times New Roman" w:hAnsi="Times New Roman"/>
                <w:b w:val="0"/>
                <w:bCs w:val="0"/>
                <w:sz w:val="21"/>
                <w:szCs w:val="21"/>
              </w:rPr>
            </w:pPr>
          </w:p>
        </w:tc>
        <w:tc>
          <w:tcPr>
            <w:tcW w:w="6172" w:type="dxa"/>
            <w:vAlign w:val="center"/>
          </w:tcPr>
          <w:p>
            <w:pPr>
              <w:pStyle w:val="5"/>
              <w:snapToGrid w:val="0"/>
              <w:spacing w:before="0" w:beforeAutospacing="0" w:after="0" w:afterAutospacing="0"/>
              <w:jc w:val="both"/>
              <w:rPr>
                <w:rFonts w:ascii="Times New Roman" w:hAnsi="Times New Roman"/>
                <w:b w:val="0"/>
                <w:bCs w:val="0"/>
                <w:sz w:val="21"/>
                <w:szCs w:val="21"/>
              </w:rPr>
            </w:pPr>
            <w:r>
              <w:rPr>
                <w:rFonts w:ascii="Times New Roman" w:hAnsi="Times New Roman"/>
                <w:b w:val="0"/>
                <w:bCs w:val="0"/>
                <w:sz w:val="21"/>
                <w:szCs w:val="21"/>
              </w:rPr>
              <w:t>3．见义勇为，舍己救人</w:t>
            </w:r>
            <w:r>
              <w:rPr>
                <w:rFonts w:hint="eastAsia" w:ascii="Times New Roman" w:hAnsi="Times New Roman"/>
                <w:b w:val="0"/>
                <w:bCs w:val="0"/>
                <w:sz w:val="21"/>
                <w:szCs w:val="21"/>
              </w:rPr>
              <w:t>（由学校相关部门认定）</w:t>
            </w:r>
          </w:p>
        </w:tc>
        <w:tc>
          <w:tcPr>
            <w:tcW w:w="701"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5</w:t>
            </w:r>
            <w:r>
              <w:rPr>
                <w:rFonts w:hint="eastAsia"/>
                <w:sz w:val="21"/>
                <w:szCs w:val="21"/>
              </w:rPr>
              <w:t>-</w:t>
            </w:r>
            <w:r>
              <w:rPr>
                <w:rFonts w:ascii="Times New Roman" w:hAnsi="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0" w:type="dxa"/>
            <w:vMerge w:val="continue"/>
            <w:vAlign w:val="center"/>
          </w:tcPr>
          <w:p>
            <w:pPr>
              <w:pStyle w:val="5"/>
              <w:snapToGrid w:val="0"/>
              <w:spacing w:before="0" w:beforeAutospacing="0" w:after="0" w:afterAutospacing="0"/>
              <w:jc w:val="both"/>
              <w:rPr>
                <w:rFonts w:ascii="Times New Roman" w:hAnsi="Times New Roman"/>
                <w:b w:val="0"/>
                <w:bCs w:val="0"/>
                <w:sz w:val="21"/>
                <w:szCs w:val="21"/>
              </w:rPr>
            </w:pPr>
          </w:p>
        </w:tc>
        <w:tc>
          <w:tcPr>
            <w:tcW w:w="6172" w:type="dxa"/>
            <w:vAlign w:val="center"/>
          </w:tcPr>
          <w:p>
            <w:pPr>
              <w:pStyle w:val="5"/>
              <w:snapToGrid w:val="0"/>
              <w:spacing w:before="0" w:beforeAutospacing="0" w:after="0" w:afterAutospacing="0"/>
              <w:jc w:val="both"/>
              <w:rPr>
                <w:rFonts w:ascii="Times New Roman" w:hAnsi="Times New Roman"/>
                <w:b w:val="0"/>
                <w:bCs w:val="0"/>
                <w:sz w:val="21"/>
                <w:szCs w:val="21"/>
              </w:rPr>
            </w:pPr>
            <w:r>
              <w:rPr>
                <w:rFonts w:ascii="Times New Roman" w:hAnsi="Times New Roman"/>
                <w:b w:val="0"/>
                <w:bCs w:val="0"/>
                <w:sz w:val="21"/>
                <w:szCs w:val="21"/>
              </w:rPr>
              <w:t>4．助人为乐，做好人好事，或在学习、生活方面主动帮助同学，表现优良者</w:t>
            </w:r>
            <w:r>
              <w:rPr>
                <w:rFonts w:hint="eastAsia" w:ascii="Times New Roman" w:hAnsi="Times New Roman"/>
                <w:b w:val="0"/>
                <w:bCs w:val="0"/>
                <w:sz w:val="21"/>
                <w:szCs w:val="21"/>
              </w:rPr>
              <w:t>（由学院认定）</w:t>
            </w:r>
          </w:p>
        </w:tc>
        <w:tc>
          <w:tcPr>
            <w:tcW w:w="701"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w:t>
            </w:r>
            <w:r>
              <w:rPr>
                <w:rFonts w:hint="eastAsia"/>
                <w:sz w:val="21"/>
                <w:szCs w:val="21"/>
              </w:rPr>
              <w:t>-</w:t>
            </w:r>
            <w:r>
              <w:rPr>
                <w:rFonts w:ascii="Times New Roman" w:hAnsi="Times New Roman"/>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20" w:type="dxa"/>
            <w:vMerge w:val="continue"/>
            <w:vAlign w:val="center"/>
          </w:tcPr>
          <w:p>
            <w:pPr>
              <w:pStyle w:val="5"/>
              <w:snapToGrid w:val="0"/>
              <w:spacing w:before="0" w:beforeAutospacing="0" w:after="0" w:afterAutospacing="0"/>
              <w:jc w:val="both"/>
              <w:rPr>
                <w:rFonts w:ascii="Times New Roman" w:hAnsi="Times New Roman"/>
                <w:b w:val="0"/>
                <w:bCs w:val="0"/>
                <w:sz w:val="21"/>
                <w:szCs w:val="21"/>
              </w:rPr>
            </w:pPr>
          </w:p>
        </w:tc>
        <w:tc>
          <w:tcPr>
            <w:tcW w:w="6172" w:type="dxa"/>
            <w:vAlign w:val="center"/>
          </w:tcPr>
          <w:p>
            <w:pPr>
              <w:pStyle w:val="5"/>
              <w:snapToGrid w:val="0"/>
              <w:spacing w:before="0" w:beforeAutospacing="0" w:after="0" w:afterAutospacing="0"/>
              <w:jc w:val="both"/>
              <w:rPr>
                <w:rFonts w:ascii="Times New Roman" w:hAnsi="Times New Roman"/>
                <w:b w:val="0"/>
                <w:bCs w:val="0"/>
                <w:sz w:val="21"/>
                <w:szCs w:val="21"/>
              </w:rPr>
            </w:pPr>
            <w:r>
              <w:rPr>
                <w:rFonts w:ascii="Times New Roman" w:hAnsi="Times New Roman"/>
                <w:b w:val="0"/>
                <w:bCs w:val="0"/>
                <w:sz w:val="21"/>
                <w:szCs w:val="21"/>
              </w:rPr>
              <w:t>5．积极参加义务献血但体检未通过</w:t>
            </w:r>
            <w:r>
              <w:rPr>
                <w:rFonts w:hint="eastAsia" w:ascii="Times New Roman" w:hAnsi="Times New Roman"/>
                <w:b w:val="0"/>
                <w:bCs w:val="0"/>
                <w:sz w:val="21"/>
                <w:szCs w:val="21"/>
              </w:rPr>
              <w:t>（由学生工作处认定）</w:t>
            </w:r>
          </w:p>
        </w:tc>
        <w:tc>
          <w:tcPr>
            <w:tcW w:w="701"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20" w:type="dxa"/>
            <w:vMerge w:val="continue"/>
            <w:vAlign w:val="center"/>
          </w:tcPr>
          <w:p>
            <w:pPr>
              <w:pStyle w:val="5"/>
              <w:snapToGrid w:val="0"/>
              <w:spacing w:before="0" w:beforeAutospacing="0" w:after="0" w:afterAutospacing="0"/>
              <w:jc w:val="both"/>
              <w:rPr>
                <w:rFonts w:ascii="Times New Roman" w:hAnsi="Times New Roman"/>
                <w:b w:val="0"/>
                <w:bCs w:val="0"/>
                <w:sz w:val="21"/>
                <w:szCs w:val="21"/>
              </w:rPr>
            </w:pPr>
          </w:p>
        </w:tc>
        <w:tc>
          <w:tcPr>
            <w:tcW w:w="6172" w:type="dxa"/>
            <w:vAlign w:val="center"/>
          </w:tcPr>
          <w:p>
            <w:pPr>
              <w:pStyle w:val="5"/>
              <w:snapToGrid w:val="0"/>
              <w:spacing w:before="0" w:beforeAutospacing="0" w:after="0" w:afterAutospacing="0"/>
              <w:jc w:val="both"/>
              <w:rPr>
                <w:rFonts w:ascii="Times New Roman" w:hAnsi="Times New Roman"/>
                <w:b w:val="0"/>
                <w:bCs w:val="0"/>
                <w:sz w:val="21"/>
                <w:szCs w:val="21"/>
              </w:rPr>
            </w:pPr>
            <w:r>
              <w:rPr>
                <w:rFonts w:ascii="Times New Roman" w:hAnsi="Times New Roman"/>
                <w:b w:val="0"/>
                <w:bCs w:val="0"/>
                <w:sz w:val="21"/>
                <w:szCs w:val="21"/>
              </w:rPr>
              <w:t>6．积极参加义务献血并献血成功</w:t>
            </w:r>
            <w:r>
              <w:rPr>
                <w:rFonts w:hint="eastAsia" w:ascii="Times New Roman" w:hAnsi="Times New Roman"/>
                <w:b w:val="0"/>
                <w:bCs w:val="0"/>
                <w:sz w:val="21"/>
                <w:szCs w:val="21"/>
              </w:rPr>
              <w:t>（由学生工作处认定）</w:t>
            </w:r>
          </w:p>
        </w:tc>
        <w:tc>
          <w:tcPr>
            <w:tcW w:w="701"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20" w:type="dxa"/>
            <w:vMerge w:val="continue"/>
            <w:vAlign w:val="center"/>
          </w:tcPr>
          <w:p>
            <w:pPr>
              <w:pStyle w:val="5"/>
              <w:snapToGrid w:val="0"/>
              <w:spacing w:before="0" w:beforeAutospacing="0" w:after="0" w:afterAutospacing="0"/>
              <w:jc w:val="both"/>
              <w:rPr>
                <w:rFonts w:ascii="Times New Roman" w:hAnsi="Times New Roman"/>
                <w:b w:val="0"/>
                <w:bCs w:val="0"/>
                <w:sz w:val="21"/>
                <w:szCs w:val="21"/>
              </w:rPr>
            </w:pPr>
          </w:p>
        </w:tc>
        <w:tc>
          <w:tcPr>
            <w:tcW w:w="6172" w:type="dxa"/>
            <w:vAlign w:val="center"/>
          </w:tcPr>
          <w:p>
            <w:pPr>
              <w:pStyle w:val="5"/>
              <w:snapToGrid w:val="0"/>
              <w:spacing w:before="0" w:beforeAutospacing="0" w:after="0" w:afterAutospacing="0"/>
              <w:jc w:val="both"/>
              <w:rPr>
                <w:rFonts w:ascii="Times New Roman" w:hAnsi="Times New Roman"/>
                <w:b w:val="0"/>
                <w:bCs w:val="0"/>
                <w:sz w:val="21"/>
                <w:szCs w:val="21"/>
              </w:rPr>
            </w:pPr>
            <w:r>
              <w:rPr>
                <w:rFonts w:hint="eastAsia" w:ascii="Times New Roman" w:hAnsi="Times New Roman"/>
                <w:b w:val="0"/>
                <w:bCs w:val="0"/>
                <w:sz w:val="21"/>
                <w:szCs w:val="21"/>
              </w:rPr>
              <w:t>7. 成为造血干细胞捐献志愿者（由学生工作处认定）</w:t>
            </w:r>
          </w:p>
        </w:tc>
        <w:tc>
          <w:tcPr>
            <w:tcW w:w="701" w:type="dxa"/>
            <w:vAlign w:val="center"/>
          </w:tcPr>
          <w:p>
            <w:pPr>
              <w:pStyle w:val="5"/>
              <w:snapToGrid w:val="0"/>
              <w:spacing w:before="0" w:beforeAutospacing="0" w:after="0" w:afterAutospacing="0"/>
              <w:jc w:val="center"/>
              <w:rPr>
                <w:rFonts w:ascii="Times New Roman" w:hAnsi="Times New Roman"/>
                <w:sz w:val="21"/>
                <w:szCs w:val="21"/>
              </w:rPr>
            </w:pPr>
            <w:r>
              <w:rPr>
                <w:rFonts w:hint="eastAsia" w:ascii="Times New Roman" w:hAnsi="Times New Roman"/>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20" w:type="dxa"/>
            <w:vMerge w:val="continue"/>
            <w:vAlign w:val="center"/>
          </w:tcPr>
          <w:p>
            <w:pPr>
              <w:pStyle w:val="5"/>
              <w:snapToGrid w:val="0"/>
              <w:spacing w:before="0" w:beforeAutospacing="0" w:after="0" w:afterAutospacing="0" w:line="400" w:lineRule="exact"/>
              <w:jc w:val="center"/>
              <w:rPr>
                <w:rFonts w:ascii="Times New Roman" w:hAnsi="Times New Roman"/>
                <w:sz w:val="21"/>
                <w:szCs w:val="21"/>
              </w:rPr>
            </w:pPr>
          </w:p>
        </w:tc>
        <w:tc>
          <w:tcPr>
            <w:tcW w:w="6172" w:type="dxa"/>
            <w:vAlign w:val="center"/>
          </w:tcPr>
          <w:p>
            <w:pPr>
              <w:pStyle w:val="5"/>
              <w:snapToGrid w:val="0"/>
              <w:spacing w:before="0" w:beforeAutospacing="0" w:after="0" w:afterAutospacing="0"/>
              <w:jc w:val="both"/>
              <w:rPr>
                <w:rFonts w:ascii="Times New Roman" w:hAnsi="Times New Roman"/>
                <w:sz w:val="21"/>
                <w:szCs w:val="21"/>
              </w:rPr>
            </w:pPr>
            <w:r>
              <w:rPr>
                <w:rFonts w:hint="eastAsia" w:ascii="Times New Roman" w:hAnsi="Times New Roman"/>
                <w:sz w:val="21"/>
                <w:szCs w:val="21"/>
              </w:rPr>
              <w:t>8</w:t>
            </w:r>
            <w:r>
              <w:rPr>
                <w:rFonts w:ascii="Times New Roman" w:hAnsi="Times New Roman"/>
                <w:sz w:val="21"/>
                <w:szCs w:val="21"/>
              </w:rPr>
              <w:t>．参加军训获得</w:t>
            </w:r>
            <w:r>
              <w:rPr>
                <w:rFonts w:hint="eastAsia" w:ascii="Times New Roman" w:hAnsi="Times New Roman"/>
                <w:sz w:val="21"/>
                <w:szCs w:val="21"/>
              </w:rPr>
              <w:t>“</w:t>
            </w:r>
            <w:r>
              <w:rPr>
                <w:rFonts w:ascii="Times New Roman" w:hAnsi="Times New Roman"/>
                <w:sz w:val="21"/>
                <w:szCs w:val="21"/>
              </w:rPr>
              <w:t>军训标兵</w:t>
            </w:r>
            <w:r>
              <w:rPr>
                <w:rFonts w:hint="eastAsia" w:ascii="Times New Roman" w:hAnsi="Times New Roman"/>
                <w:sz w:val="21"/>
                <w:szCs w:val="21"/>
              </w:rPr>
              <w:t>”</w:t>
            </w:r>
            <w:r>
              <w:rPr>
                <w:rFonts w:ascii="Times New Roman" w:hAnsi="Times New Roman"/>
                <w:sz w:val="21"/>
                <w:szCs w:val="21"/>
              </w:rPr>
              <w:t>称号</w:t>
            </w:r>
            <w:r>
              <w:rPr>
                <w:rFonts w:hint="eastAsia" w:ascii="Times New Roman" w:hAnsi="Times New Roman"/>
                <w:sz w:val="21"/>
                <w:szCs w:val="21"/>
              </w:rPr>
              <w:t>（由学生工作处认定）</w:t>
            </w:r>
          </w:p>
        </w:tc>
        <w:tc>
          <w:tcPr>
            <w:tcW w:w="701"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20" w:type="dxa"/>
            <w:vMerge w:val="continue"/>
            <w:vAlign w:val="center"/>
          </w:tcPr>
          <w:p>
            <w:pPr>
              <w:pStyle w:val="5"/>
              <w:snapToGrid w:val="0"/>
              <w:spacing w:before="0" w:beforeAutospacing="0" w:after="0" w:afterAutospacing="0" w:line="400" w:lineRule="exact"/>
              <w:jc w:val="center"/>
              <w:rPr>
                <w:rFonts w:ascii="Times New Roman" w:hAnsi="Times New Roman"/>
                <w:sz w:val="21"/>
                <w:szCs w:val="21"/>
              </w:rPr>
            </w:pPr>
          </w:p>
        </w:tc>
        <w:tc>
          <w:tcPr>
            <w:tcW w:w="6172" w:type="dxa"/>
            <w:vAlign w:val="center"/>
          </w:tcPr>
          <w:p>
            <w:pPr>
              <w:pStyle w:val="5"/>
              <w:snapToGrid w:val="0"/>
              <w:spacing w:before="0" w:beforeAutospacing="0" w:after="0" w:afterAutospacing="0"/>
              <w:jc w:val="both"/>
              <w:rPr>
                <w:rFonts w:ascii="Times New Roman" w:hAnsi="Times New Roman"/>
                <w:sz w:val="21"/>
                <w:szCs w:val="21"/>
              </w:rPr>
            </w:pPr>
            <w:r>
              <w:rPr>
                <w:rFonts w:hint="eastAsia" w:ascii="Times New Roman" w:hAnsi="Times New Roman"/>
                <w:sz w:val="21"/>
                <w:szCs w:val="21"/>
              </w:rPr>
              <w:t>9</w:t>
            </w:r>
            <w:r>
              <w:rPr>
                <w:rFonts w:ascii="Times New Roman" w:hAnsi="Times New Roman"/>
                <w:sz w:val="21"/>
                <w:szCs w:val="21"/>
              </w:rPr>
              <w:t>．所在寝室被评为文明寝室</w:t>
            </w:r>
            <w:r>
              <w:rPr>
                <w:rFonts w:hint="eastAsia" w:ascii="Times New Roman" w:hAnsi="Times New Roman"/>
                <w:sz w:val="21"/>
                <w:szCs w:val="21"/>
              </w:rPr>
              <w:t>（由学生工作处认定）</w:t>
            </w:r>
          </w:p>
        </w:tc>
        <w:tc>
          <w:tcPr>
            <w:tcW w:w="701"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2</w:t>
            </w:r>
          </w:p>
        </w:tc>
      </w:tr>
    </w:tbl>
    <w:p>
      <w:pPr>
        <w:spacing w:line="440" w:lineRule="exact"/>
        <w:rPr>
          <w:rFonts w:ascii="宋体" w:hAnsi="宋体"/>
          <w:sz w:val="28"/>
          <w:szCs w:val="28"/>
        </w:rPr>
      </w:pPr>
    </w:p>
    <w:p>
      <w:pPr>
        <w:spacing w:line="440" w:lineRule="exact"/>
        <w:jc w:val="center"/>
        <w:rPr>
          <w:b/>
          <w:sz w:val="28"/>
          <w:szCs w:val="28"/>
        </w:rPr>
      </w:pPr>
      <w:r>
        <w:rPr>
          <w:rFonts w:hint="eastAsia"/>
          <w:b/>
          <w:sz w:val="28"/>
          <w:szCs w:val="28"/>
        </w:rPr>
        <w:t>表二：社会工作奖励分标准</w:t>
      </w:r>
    </w:p>
    <w:tbl>
      <w:tblPr>
        <w:tblStyle w:val="3"/>
        <w:tblW w:w="75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27"/>
        <w:gridCol w:w="12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5"/>
              <w:snapToGrid w:val="0"/>
              <w:spacing w:before="0" w:beforeAutospacing="0" w:after="0" w:afterAutospacing="0"/>
              <w:jc w:val="center"/>
              <w:rPr>
                <w:b/>
                <w:sz w:val="21"/>
                <w:szCs w:val="21"/>
              </w:rPr>
            </w:pPr>
            <w:r>
              <w:rPr>
                <w:rFonts w:hint="eastAsia"/>
                <w:b/>
                <w:sz w:val="21"/>
                <w:szCs w:val="21"/>
              </w:rPr>
              <w:t>职务</w:t>
            </w:r>
          </w:p>
        </w:tc>
        <w:tc>
          <w:tcPr>
            <w:tcW w:w="1242" w:type="dxa"/>
            <w:vAlign w:val="center"/>
          </w:tcPr>
          <w:p>
            <w:pPr>
              <w:pStyle w:val="5"/>
              <w:snapToGrid w:val="0"/>
              <w:spacing w:before="0" w:beforeAutospacing="0" w:after="0" w:afterAutospacing="0"/>
              <w:jc w:val="center"/>
              <w:rPr>
                <w:b/>
                <w:sz w:val="21"/>
                <w:szCs w:val="21"/>
              </w:rPr>
            </w:pPr>
            <w:r>
              <w:rPr>
                <w:rFonts w:hint="eastAsia"/>
                <w:b/>
                <w:sz w:val="21"/>
                <w:szCs w:val="21"/>
              </w:rPr>
              <w:t>加分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2"/>
              <w:ind w:firstLine="0" w:firstLineChars="0"/>
            </w:pPr>
            <w:r>
              <w:rPr>
                <w:rFonts w:hint="eastAsia"/>
              </w:rPr>
              <w:t>校团委学生书记、校学生会主席</w:t>
            </w:r>
          </w:p>
        </w:tc>
        <w:tc>
          <w:tcPr>
            <w:tcW w:w="1242" w:type="dxa"/>
            <w:vAlign w:val="center"/>
          </w:tcPr>
          <w:p>
            <w:pPr>
              <w:pStyle w:val="2"/>
              <w:ind w:firstLine="0" w:firstLineChars="0"/>
              <w:jc w:val="center"/>
            </w:pPr>
            <w:r>
              <w:rPr>
                <w:rFonts w:hint="eastAsia"/>
              </w:rPr>
              <w:t>0.5</w:t>
            </w:r>
            <w:r>
              <w:rPr>
                <w:rFonts w:hint="eastAsia" w:ascii="宋体" w:hAnsi="宋体"/>
              </w:rPr>
              <w:t>-</w:t>
            </w:r>
            <w:r>
              <w:rPr>
                <w:rFonts w:hint="eastAsia"/>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2"/>
              <w:ind w:firstLine="0" w:firstLineChars="0"/>
            </w:pPr>
            <w:r>
              <w:rPr>
                <w:rFonts w:hint="eastAsia"/>
              </w:rPr>
              <w:t>校团委各部部长、校学生会副主席，学院分团委学生书记</w:t>
            </w:r>
          </w:p>
        </w:tc>
        <w:tc>
          <w:tcPr>
            <w:tcW w:w="1242" w:type="dxa"/>
            <w:vAlign w:val="center"/>
          </w:tcPr>
          <w:p>
            <w:pPr>
              <w:pStyle w:val="2"/>
              <w:ind w:firstLine="0" w:firstLineChars="0"/>
              <w:jc w:val="center"/>
            </w:pPr>
            <w:r>
              <w:rPr>
                <w:rFonts w:hint="eastAsia"/>
              </w:rPr>
              <w:t>0.5</w:t>
            </w:r>
            <w:r>
              <w:rPr>
                <w:rFonts w:hint="eastAsia" w:ascii="宋体" w:hAnsi="宋体"/>
              </w:rPr>
              <w:t>-</w:t>
            </w:r>
            <w:r>
              <w:rPr>
                <w:rFonts w:hint="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2"/>
              <w:ind w:firstLine="0" w:firstLineChars="0"/>
            </w:pPr>
            <w:r>
              <w:rPr>
                <w:rFonts w:hint="eastAsia"/>
              </w:rPr>
              <w:t>校团委各部副部长、校学生会各部部长、易班、红会、心协会长或第一负责人，学院学生会主席，学生党支部学生书记，宿舍楼楼长</w:t>
            </w:r>
          </w:p>
        </w:tc>
        <w:tc>
          <w:tcPr>
            <w:tcW w:w="1242" w:type="dxa"/>
            <w:vAlign w:val="center"/>
          </w:tcPr>
          <w:p>
            <w:pPr>
              <w:pStyle w:val="2"/>
              <w:ind w:firstLine="0" w:firstLineChars="0"/>
              <w:jc w:val="center"/>
            </w:pPr>
            <w:r>
              <w:rPr>
                <w:rFonts w:hint="eastAsia"/>
              </w:rPr>
              <w:t>0.5</w:t>
            </w:r>
            <w:r>
              <w:rPr>
                <w:rFonts w:hint="eastAsia" w:ascii="宋体" w:hAnsi="宋体"/>
              </w:rPr>
              <w:t>-</w:t>
            </w:r>
            <w:r>
              <w:rPr>
                <w:rFonts w:hint="eastAsia"/>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2"/>
              <w:ind w:firstLine="0" w:firstLineChars="0"/>
            </w:pPr>
            <w:r>
              <w:rPr>
                <w:rFonts w:hint="eastAsia"/>
              </w:rPr>
              <w:t>校学生会各部副部长、易班、红会、心协各部部长，学院分团委各部部长、学院学生会副主席，宿舍楼副楼长，班长、团支部书记</w:t>
            </w:r>
          </w:p>
        </w:tc>
        <w:tc>
          <w:tcPr>
            <w:tcW w:w="1242" w:type="dxa"/>
            <w:vAlign w:val="center"/>
          </w:tcPr>
          <w:p>
            <w:pPr>
              <w:pStyle w:val="2"/>
              <w:ind w:firstLine="0" w:firstLineChars="0"/>
              <w:jc w:val="center"/>
            </w:pPr>
            <w:r>
              <w:rPr>
                <w:rFonts w:hint="eastAsia"/>
              </w:rPr>
              <w:t>0.5</w:t>
            </w:r>
            <w:r>
              <w:rPr>
                <w:rFonts w:hint="eastAsia" w:ascii="宋体" w:hAnsi="宋体"/>
              </w:rPr>
              <w:t>-</w:t>
            </w:r>
            <w:r>
              <w:rPr>
                <w:rFonts w:hint="eastAsia"/>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2"/>
              <w:ind w:firstLine="0" w:firstLineChars="0"/>
            </w:pPr>
            <w:r>
              <w:rPr>
                <w:rFonts w:hint="eastAsia"/>
              </w:rPr>
              <w:t>校聘学生助理（须经主管部门审批且无经济报酬），校级社团（经校团委批准并持续活动满一年，下同）第一负责人，易班、红会、心协各部副部长，学院分团委各部副部长、学院学生会各部部长，宿舍楼层长</w:t>
            </w:r>
          </w:p>
        </w:tc>
        <w:tc>
          <w:tcPr>
            <w:tcW w:w="1242" w:type="dxa"/>
            <w:vAlign w:val="center"/>
          </w:tcPr>
          <w:p>
            <w:pPr>
              <w:pStyle w:val="2"/>
              <w:ind w:firstLine="0" w:firstLineChars="0"/>
              <w:jc w:val="center"/>
            </w:pPr>
            <w:r>
              <w:rPr>
                <w:rFonts w:hint="eastAsia"/>
              </w:rPr>
              <w:t>0.5</w:t>
            </w:r>
            <w:r>
              <w:rPr>
                <w:rFonts w:hint="eastAsia" w:ascii="宋体" w:hAnsi="宋体"/>
              </w:rPr>
              <w:t>-</w:t>
            </w:r>
            <w:r>
              <w:rPr>
                <w:rFonts w:hint="eastAsia"/>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2"/>
              <w:ind w:firstLine="0" w:firstLineChars="0"/>
            </w:pPr>
            <w:r>
              <w:rPr>
                <w:rFonts w:hint="eastAsia"/>
              </w:rPr>
              <w:t>校级社团第二负责人，学院学生会各部副部长，学生党支部委员，副班长、团支部副书记，宿舍楼副层长</w:t>
            </w:r>
          </w:p>
        </w:tc>
        <w:tc>
          <w:tcPr>
            <w:tcW w:w="1242" w:type="dxa"/>
            <w:vAlign w:val="center"/>
          </w:tcPr>
          <w:p>
            <w:pPr>
              <w:pStyle w:val="2"/>
              <w:ind w:firstLine="0" w:firstLineChars="0"/>
              <w:jc w:val="center"/>
            </w:pPr>
            <w:r>
              <w:rPr>
                <w:rFonts w:hint="eastAsia"/>
              </w:rPr>
              <w:t>0.5</w:t>
            </w:r>
            <w:r>
              <w:rPr>
                <w:rFonts w:hint="eastAsia" w:ascii="宋体" w:hAnsi="宋体"/>
              </w:rPr>
              <w:t>-</w:t>
            </w: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2"/>
              <w:ind w:firstLine="0" w:firstLineChars="0"/>
            </w:pPr>
            <w:r>
              <w:rPr>
                <w:rFonts w:hint="eastAsia"/>
              </w:rPr>
              <w:t>校团委、校学生会、校级社团学生干事，易班、红会、心协学生干事，学院分团委、学院学生会学生干事，班级委员、团支部委员，宿舍楼寝室长</w:t>
            </w:r>
          </w:p>
        </w:tc>
        <w:tc>
          <w:tcPr>
            <w:tcW w:w="1242" w:type="dxa"/>
            <w:vAlign w:val="center"/>
          </w:tcPr>
          <w:p>
            <w:pPr>
              <w:pStyle w:val="2"/>
              <w:ind w:firstLine="0" w:firstLineChars="0"/>
              <w:jc w:val="center"/>
            </w:pPr>
            <w:r>
              <w:rPr>
                <w:rFonts w:hint="eastAsia"/>
              </w:rPr>
              <w:t>0.5</w:t>
            </w:r>
            <w:r>
              <w:rPr>
                <w:rFonts w:hint="eastAsia" w:ascii="宋体" w:hAnsi="宋体"/>
              </w:rPr>
              <w:t>-</w:t>
            </w:r>
            <w:r>
              <w:rPr>
                <w:rFonts w:hint="eastAsia"/>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2"/>
              <w:ind w:firstLine="0" w:firstLineChars="0"/>
            </w:pPr>
            <w:r>
              <w:rPr>
                <w:rFonts w:hint="eastAsia"/>
              </w:rPr>
              <w:t>其他学生干事、干部，因社会工作受到各学院或部门表扬者</w:t>
            </w:r>
          </w:p>
        </w:tc>
        <w:tc>
          <w:tcPr>
            <w:tcW w:w="1242" w:type="dxa"/>
            <w:vAlign w:val="center"/>
          </w:tcPr>
          <w:p>
            <w:pPr>
              <w:pStyle w:val="2"/>
              <w:ind w:firstLine="0" w:firstLineChars="0"/>
              <w:jc w:val="center"/>
            </w:pPr>
            <w:r>
              <w:rPr>
                <w:rFonts w:hint="eastAsia"/>
              </w:rPr>
              <w:t>0.5</w:t>
            </w:r>
            <w:r>
              <w:rPr>
                <w:rFonts w:hint="eastAsia" w:ascii="宋体" w:hAnsi="宋体"/>
              </w:rPr>
              <w:t>-</w:t>
            </w:r>
            <w:r>
              <w:rPr>
                <w:rFonts w:hint="eastAsia"/>
              </w:rPr>
              <w:t>1</w:t>
            </w:r>
          </w:p>
        </w:tc>
      </w:tr>
    </w:tbl>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注：1．根据管理权限，由相关部门和学院提供证明材料和建议加分分值（证明材料为学生述职报告和考评表）</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2．获取建议加分最高分值的人数不得超出该部门（或学院）出具证明材料人数的25%，若超出则该部门（或学院）所出具的所有证明材料无效；</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3．工作态度差、不负责任、未完成本职工作、在该部门（或学院）工作考核不合格或任职未满一学期者，不加社会工作奖励分；</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4．证明材料和建议加分分值应于每学期开学后2周内提供给各学院；</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5．兼任数项社会工作者，以最高项加分，不累加。</w:t>
      </w:r>
    </w:p>
    <w:p>
      <w:pPr>
        <w:keepNext w:val="0"/>
        <w:keepLines w:val="0"/>
        <w:pageBreakBefore w:val="0"/>
        <w:widowControl w:val="0"/>
        <w:kinsoku/>
        <w:wordWrap/>
        <w:overflowPunct/>
        <w:topLinePunct w:val="0"/>
        <w:autoSpaceDE/>
        <w:autoSpaceDN/>
        <w:bidi w:val="0"/>
        <w:adjustRightInd w:val="0"/>
        <w:snapToGrid w:val="0"/>
        <w:spacing w:line="460" w:lineRule="exact"/>
        <w:ind w:firstLine="320" w:firstLineChars="100"/>
        <w:textAlignment w:val="auto"/>
        <w:rPr>
          <w:rFonts w:hint="eastAsia" w:ascii="仿宋_GB2312" w:hAnsi="Calibri" w:eastAsia="仿宋_GB2312"/>
          <w:color w:val="000000"/>
          <w:sz w:val="32"/>
          <w:szCs w:val="32"/>
          <w:lang w:eastAsia="zh-CN"/>
        </w:rPr>
      </w:pPr>
    </w:p>
    <w:p>
      <w:pPr>
        <w:spacing w:line="440" w:lineRule="exact"/>
        <w:jc w:val="center"/>
        <w:rPr>
          <w:b/>
          <w:sz w:val="28"/>
          <w:szCs w:val="28"/>
        </w:rPr>
      </w:pPr>
      <w:r>
        <w:rPr>
          <w:rFonts w:hint="eastAsia"/>
          <w:b/>
          <w:sz w:val="28"/>
          <w:szCs w:val="28"/>
        </w:rPr>
        <w:t>表三：违纪惩罚分标准</w:t>
      </w:r>
    </w:p>
    <w:tbl>
      <w:tblPr>
        <w:tblStyle w:val="3"/>
        <w:tblW w:w="77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20"/>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920" w:type="dxa"/>
            <w:shd w:val="clear" w:color="auto" w:fill="auto"/>
          </w:tcPr>
          <w:p>
            <w:pPr>
              <w:jc w:val="center"/>
              <w:rPr>
                <w:b/>
                <w:szCs w:val="21"/>
              </w:rPr>
            </w:pPr>
            <w:r>
              <w:rPr>
                <w:rFonts w:hint="eastAsia"/>
                <w:b/>
                <w:szCs w:val="21"/>
              </w:rPr>
              <w:t>惩罚理由</w:t>
            </w:r>
          </w:p>
        </w:tc>
        <w:tc>
          <w:tcPr>
            <w:tcW w:w="1843" w:type="dxa"/>
            <w:shd w:val="clear" w:color="auto" w:fill="auto"/>
          </w:tcPr>
          <w:p>
            <w:pPr>
              <w:jc w:val="center"/>
              <w:rPr>
                <w:b/>
                <w:szCs w:val="21"/>
              </w:rPr>
            </w:pPr>
            <w:r>
              <w:rPr>
                <w:rFonts w:hint="eastAsia"/>
                <w:b/>
                <w:szCs w:val="21"/>
              </w:rPr>
              <w:t>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920" w:type="dxa"/>
            <w:shd w:val="clear" w:color="auto" w:fill="auto"/>
          </w:tcPr>
          <w:p>
            <w:pPr>
              <w:rPr>
                <w:szCs w:val="21"/>
              </w:rPr>
            </w:pPr>
            <w:r>
              <w:rPr>
                <w:rFonts w:hint="eastAsia"/>
                <w:szCs w:val="21"/>
              </w:rPr>
              <w:t>每一学期因《学生违纪计分实施办法》获得的违纪计分</w:t>
            </w:r>
          </w:p>
        </w:tc>
        <w:tc>
          <w:tcPr>
            <w:tcW w:w="1843" w:type="dxa"/>
            <w:shd w:val="clear" w:color="auto" w:fill="auto"/>
          </w:tcPr>
          <w:p>
            <w:pPr>
              <w:jc w:val="center"/>
              <w:rPr>
                <w:szCs w:val="21"/>
              </w:rPr>
            </w:pPr>
            <w:r>
              <w:rPr>
                <w:rFonts w:hint="eastAsia"/>
                <w:szCs w:val="21"/>
              </w:rPr>
              <w:t>按实际违纪计分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920" w:type="dxa"/>
            <w:shd w:val="clear" w:color="auto" w:fill="auto"/>
          </w:tcPr>
          <w:p>
            <w:pPr>
              <w:rPr>
                <w:szCs w:val="21"/>
              </w:rPr>
            </w:pPr>
            <w:r>
              <w:rPr>
                <w:rFonts w:hint="eastAsia"/>
                <w:szCs w:val="21"/>
              </w:rPr>
              <w:t>批评教育</w:t>
            </w:r>
          </w:p>
        </w:tc>
        <w:tc>
          <w:tcPr>
            <w:tcW w:w="1843" w:type="dxa"/>
            <w:shd w:val="clear" w:color="auto" w:fill="auto"/>
          </w:tcPr>
          <w:p>
            <w:pPr>
              <w:jc w:val="center"/>
              <w:rPr>
                <w:szCs w:val="21"/>
              </w:rPr>
            </w:pPr>
            <w:r>
              <w:rPr>
                <w:rFonts w:hint="eastAsia"/>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920" w:type="dxa"/>
            <w:shd w:val="clear" w:color="auto" w:fill="auto"/>
          </w:tcPr>
          <w:p>
            <w:pPr>
              <w:rPr>
                <w:szCs w:val="21"/>
              </w:rPr>
            </w:pPr>
            <w:r>
              <w:rPr>
                <w:rFonts w:hint="eastAsia"/>
                <w:szCs w:val="21"/>
              </w:rPr>
              <w:t>警告</w:t>
            </w:r>
          </w:p>
        </w:tc>
        <w:tc>
          <w:tcPr>
            <w:tcW w:w="1843" w:type="dxa"/>
            <w:shd w:val="clear" w:color="auto" w:fill="auto"/>
          </w:tcPr>
          <w:p>
            <w:pPr>
              <w:jc w:val="center"/>
              <w:rPr>
                <w:szCs w:val="21"/>
              </w:rPr>
            </w:pPr>
            <w:r>
              <w:rPr>
                <w:rFonts w:hint="eastAsia"/>
                <w:szCs w:val="21"/>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920" w:type="dxa"/>
            <w:shd w:val="clear" w:color="auto" w:fill="auto"/>
          </w:tcPr>
          <w:p>
            <w:pPr>
              <w:rPr>
                <w:szCs w:val="21"/>
              </w:rPr>
            </w:pPr>
            <w:r>
              <w:rPr>
                <w:rFonts w:hint="eastAsia"/>
                <w:szCs w:val="21"/>
              </w:rPr>
              <w:t>严重警告</w:t>
            </w:r>
          </w:p>
        </w:tc>
        <w:tc>
          <w:tcPr>
            <w:tcW w:w="1843" w:type="dxa"/>
            <w:shd w:val="clear" w:color="auto" w:fill="auto"/>
          </w:tcPr>
          <w:p>
            <w:pPr>
              <w:jc w:val="center"/>
              <w:rPr>
                <w:szCs w:val="21"/>
              </w:rPr>
            </w:pPr>
            <w:r>
              <w:rPr>
                <w:rFonts w:hint="eastAsia"/>
                <w:szCs w:val="21"/>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920" w:type="dxa"/>
            <w:shd w:val="clear" w:color="auto" w:fill="auto"/>
          </w:tcPr>
          <w:p>
            <w:pPr>
              <w:rPr>
                <w:szCs w:val="21"/>
              </w:rPr>
            </w:pPr>
            <w:r>
              <w:rPr>
                <w:rFonts w:hint="eastAsia"/>
                <w:szCs w:val="21"/>
              </w:rPr>
              <w:t>记过</w:t>
            </w:r>
          </w:p>
        </w:tc>
        <w:tc>
          <w:tcPr>
            <w:tcW w:w="1843" w:type="dxa"/>
            <w:shd w:val="clear" w:color="auto" w:fill="auto"/>
          </w:tcPr>
          <w:p>
            <w:pPr>
              <w:jc w:val="center"/>
              <w:rPr>
                <w:szCs w:val="21"/>
              </w:rPr>
            </w:pPr>
            <w:r>
              <w:rPr>
                <w:rFonts w:hint="eastAsia"/>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920" w:type="dxa"/>
            <w:shd w:val="clear" w:color="auto" w:fill="auto"/>
          </w:tcPr>
          <w:p>
            <w:pPr>
              <w:rPr>
                <w:szCs w:val="21"/>
              </w:rPr>
            </w:pPr>
            <w:r>
              <w:rPr>
                <w:rFonts w:hint="eastAsia"/>
                <w:szCs w:val="21"/>
              </w:rPr>
              <w:t>留校查看</w:t>
            </w:r>
          </w:p>
        </w:tc>
        <w:tc>
          <w:tcPr>
            <w:tcW w:w="1843" w:type="dxa"/>
            <w:shd w:val="clear" w:color="auto" w:fill="auto"/>
          </w:tcPr>
          <w:p>
            <w:pPr>
              <w:jc w:val="center"/>
              <w:rPr>
                <w:szCs w:val="21"/>
              </w:rPr>
            </w:pPr>
            <w:r>
              <w:rPr>
                <w:rFonts w:hint="eastAsia"/>
                <w:szCs w:val="21"/>
              </w:rPr>
              <w:t>48</w:t>
            </w:r>
          </w:p>
        </w:tc>
      </w:tr>
    </w:tbl>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注：1．奖励总分不超过30分，惩罚总分不超过70分。</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2．德育表现中同一违纪行为受多项扣分时，以最高扣分为准，扣分应从德育基本分中扣除，不同违纪行为累计扣分。</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Calibri" w:eastAsia="仿宋_GB2312"/>
          <w:b/>
          <w:bCs/>
          <w:color w:val="000000"/>
          <w:sz w:val="32"/>
          <w:szCs w:val="32"/>
          <w:lang w:eastAsia="zh-CN"/>
        </w:rPr>
      </w:pPr>
      <w:r>
        <w:rPr>
          <w:rFonts w:hint="eastAsia" w:ascii="仿宋_GB2312" w:hAnsi="Calibri" w:eastAsia="仿宋_GB2312"/>
          <w:b/>
          <w:bCs/>
          <w:color w:val="000000"/>
          <w:sz w:val="32"/>
          <w:szCs w:val="32"/>
          <w:lang w:eastAsia="zh-CN"/>
        </w:rPr>
        <w:t>三、智育成绩评分标准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智育成绩（满分100分）= 平均成绩分 + 智育奖惩分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根据教务处提供的教学计划安排修读的课程成绩、学分作为评分依据。</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（一）平均成绩分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平均成绩分＝∑（修读课程成绩×该课程学分）/修读课程总学分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修读课程总学分：</w:t>
      </w:r>
    </w:p>
    <w:p>
      <w:pPr>
        <w:keepNext w:val="0"/>
        <w:keepLines w:val="0"/>
        <w:pageBreakBefore w:val="0"/>
        <w:widowControl w:val="0"/>
        <w:kinsoku/>
        <w:wordWrap/>
        <w:overflowPunct/>
        <w:topLinePunct w:val="0"/>
        <w:autoSpaceDE/>
        <w:autoSpaceDN/>
        <w:bidi w:val="0"/>
        <w:adjustRightInd w:val="0"/>
        <w:snapToGrid w:val="0"/>
        <w:spacing w:line="460" w:lineRule="exact"/>
        <w:ind w:firstLine="960" w:firstLineChars="3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1．经批准免修的课程成绩按免修考试成绩计算；</w:t>
      </w:r>
    </w:p>
    <w:p>
      <w:pPr>
        <w:keepNext w:val="0"/>
        <w:keepLines w:val="0"/>
        <w:pageBreakBefore w:val="0"/>
        <w:widowControl w:val="0"/>
        <w:kinsoku/>
        <w:wordWrap/>
        <w:overflowPunct/>
        <w:topLinePunct w:val="0"/>
        <w:autoSpaceDE/>
        <w:autoSpaceDN/>
        <w:bidi w:val="0"/>
        <w:adjustRightInd w:val="0"/>
        <w:snapToGrid w:val="0"/>
        <w:spacing w:line="460" w:lineRule="exact"/>
        <w:ind w:firstLine="960" w:firstLineChars="3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2．重新学习课程及辅修课成绩不计入评奖学年的平均成绩分；</w:t>
      </w:r>
    </w:p>
    <w:p>
      <w:pPr>
        <w:keepNext w:val="0"/>
        <w:keepLines w:val="0"/>
        <w:pageBreakBefore w:val="0"/>
        <w:widowControl w:val="0"/>
        <w:kinsoku/>
        <w:wordWrap/>
        <w:overflowPunct/>
        <w:topLinePunct w:val="0"/>
        <w:autoSpaceDE/>
        <w:autoSpaceDN/>
        <w:bidi w:val="0"/>
        <w:adjustRightInd w:val="0"/>
        <w:snapToGrid w:val="0"/>
        <w:spacing w:line="460" w:lineRule="exact"/>
        <w:ind w:firstLine="960" w:firstLineChars="3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3．各门课程成绩均按第一次考试（考核）成绩计算。</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（二）智育奖惩分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智育奖惩分标准见表四、表五。</w:t>
      </w:r>
    </w:p>
    <w:p>
      <w:pPr>
        <w:keepNext w:val="0"/>
        <w:keepLines w:val="0"/>
        <w:pageBreakBefore w:val="0"/>
        <w:widowControl w:val="0"/>
        <w:kinsoku/>
        <w:wordWrap/>
        <w:overflowPunct/>
        <w:topLinePunct w:val="0"/>
        <w:autoSpaceDE/>
        <w:autoSpaceDN/>
        <w:bidi w:val="0"/>
        <w:adjustRightInd w:val="0"/>
        <w:snapToGrid w:val="0"/>
        <w:spacing w:line="460" w:lineRule="exact"/>
        <w:ind w:firstLine="320" w:firstLineChars="100"/>
        <w:textAlignment w:val="auto"/>
        <w:rPr>
          <w:rFonts w:hint="eastAsia" w:ascii="仿宋_GB2312" w:hAnsi="Calibri" w:eastAsia="仿宋_GB2312"/>
          <w:color w:val="000000"/>
          <w:sz w:val="32"/>
          <w:szCs w:val="32"/>
          <w:lang w:eastAsia="zh-CN"/>
        </w:rPr>
      </w:pPr>
    </w:p>
    <w:p>
      <w:pPr>
        <w:spacing w:line="440" w:lineRule="exact"/>
        <w:jc w:val="center"/>
        <w:rPr>
          <w:b/>
          <w:sz w:val="28"/>
          <w:szCs w:val="28"/>
        </w:rPr>
      </w:pPr>
      <w:r>
        <w:rPr>
          <w:rFonts w:hint="eastAsia"/>
          <w:b/>
          <w:sz w:val="28"/>
          <w:szCs w:val="28"/>
        </w:rPr>
        <w:t>表四：智育能力奖励分标准</w:t>
      </w:r>
    </w:p>
    <w:tbl>
      <w:tblPr>
        <w:tblStyle w:val="3"/>
        <w:tblW w:w="75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90"/>
        <w:gridCol w:w="7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 w:hRule="atLeast"/>
          <w:jc w:val="center"/>
        </w:trPr>
        <w:tc>
          <w:tcPr>
            <w:tcW w:w="6790" w:type="dxa"/>
            <w:vAlign w:val="center"/>
          </w:tcPr>
          <w:p>
            <w:pPr>
              <w:pStyle w:val="5"/>
              <w:snapToGrid w:val="0"/>
              <w:spacing w:before="0" w:beforeAutospacing="0" w:after="0" w:afterAutospacing="0"/>
              <w:ind w:firstLine="422" w:firstLineChars="200"/>
              <w:jc w:val="center"/>
              <w:rPr>
                <w:rFonts w:ascii="Times New Roman" w:hAnsi="Times New Roman"/>
                <w:b/>
                <w:sz w:val="21"/>
                <w:szCs w:val="21"/>
              </w:rPr>
            </w:pPr>
            <w:r>
              <w:rPr>
                <w:rFonts w:ascii="Times New Roman" w:hAnsi="Times New Roman"/>
                <w:b/>
                <w:sz w:val="21"/>
                <w:szCs w:val="21"/>
              </w:rPr>
              <w:t>奖 励 要 求</w:t>
            </w:r>
          </w:p>
        </w:tc>
        <w:tc>
          <w:tcPr>
            <w:tcW w:w="735" w:type="dxa"/>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加分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6790" w:type="dxa"/>
            <w:vAlign w:val="center"/>
          </w:tcPr>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1．作品在电台、电视台</w:t>
            </w:r>
            <w:r>
              <w:rPr>
                <w:rFonts w:hint="eastAsia" w:ascii="Times New Roman" w:hAnsi="Times New Roman"/>
                <w:sz w:val="21"/>
                <w:szCs w:val="21"/>
              </w:rPr>
              <w:t>正式</w:t>
            </w:r>
            <w:r>
              <w:rPr>
                <w:rFonts w:ascii="Times New Roman" w:hAnsi="Times New Roman"/>
                <w:sz w:val="21"/>
                <w:szCs w:val="21"/>
              </w:rPr>
              <w:t>播出或在展览中展出且经学校认可的，酌情给予加分</w:t>
            </w:r>
          </w:p>
        </w:tc>
        <w:tc>
          <w:tcPr>
            <w:tcW w:w="735"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w:t>
            </w:r>
            <w:r>
              <w:rPr>
                <w:rFonts w:hint="eastAsia"/>
                <w:sz w:val="21"/>
                <w:szCs w:val="21"/>
              </w:rPr>
              <w:t>-</w:t>
            </w:r>
            <w:r>
              <w:rPr>
                <w:rFonts w:ascii="Times New Roman" w:hAnsi="Times New Roman"/>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6790" w:type="dxa"/>
          </w:tcPr>
          <w:p>
            <w:pPr>
              <w:pStyle w:val="5"/>
              <w:snapToGrid w:val="0"/>
              <w:spacing w:before="0" w:beforeAutospacing="0" w:after="0" w:afterAutospacing="0"/>
              <w:rPr>
                <w:rFonts w:ascii="Times New Roman" w:hAnsi="Times New Roman"/>
                <w:b w:val="0"/>
                <w:bCs w:val="0"/>
                <w:sz w:val="21"/>
                <w:szCs w:val="21"/>
              </w:rPr>
            </w:pPr>
            <w:r>
              <w:rPr>
                <w:rFonts w:ascii="Times New Roman" w:hAnsi="Times New Roman"/>
                <w:b w:val="0"/>
                <w:bCs w:val="0"/>
                <w:sz w:val="21"/>
                <w:szCs w:val="21"/>
              </w:rPr>
              <w:t>2．</w:t>
            </w:r>
            <w:r>
              <w:rPr>
                <w:rFonts w:hint="eastAsia" w:ascii="Times New Roman" w:hAnsi="Times New Roman"/>
                <w:b w:val="0"/>
                <w:bCs w:val="0"/>
                <w:sz w:val="21"/>
                <w:szCs w:val="21"/>
              </w:rPr>
              <w:t>雅思考试(IELTS)成绩达到7分(含)及</w:t>
            </w:r>
            <w:r>
              <w:rPr>
                <w:rFonts w:ascii="Times New Roman" w:hAnsi="Times New Roman"/>
                <w:b w:val="0"/>
                <w:bCs w:val="0"/>
                <w:sz w:val="21"/>
                <w:szCs w:val="21"/>
              </w:rPr>
              <w:t>以上者；</w:t>
            </w:r>
            <w:r>
              <w:rPr>
                <w:rFonts w:hint="eastAsia" w:ascii="Times New Roman" w:hAnsi="Times New Roman"/>
                <w:b w:val="0"/>
                <w:bCs w:val="0"/>
                <w:sz w:val="21"/>
                <w:szCs w:val="21"/>
              </w:rPr>
              <w:t>托福考试(TOEFL-ibt)成绩达到100分(含)及</w:t>
            </w:r>
            <w:r>
              <w:rPr>
                <w:rFonts w:ascii="Times New Roman" w:hAnsi="Times New Roman"/>
                <w:b w:val="0"/>
                <w:bCs w:val="0"/>
                <w:sz w:val="21"/>
                <w:szCs w:val="21"/>
              </w:rPr>
              <w:t>以上者；参加全国专业英语</w:t>
            </w:r>
            <w:r>
              <w:rPr>
                <w:rFonts w:hint="eastAsia" w:ascii="Times New Roman" w:hAnsi="Times New Roman"/>
                <w:b w:val="0"/>
                <w:bCs w:val="0"/>
                <w:sz w:val="21"/>
                <w:szCs w:val="21"/>
              </w:rPr>
              <w:t>八</w:t>
            </w:r>
            <w:r>
              <w:rPr>
                <w:rFonts w:ascii="Times New Roman" w:hAnsi="Times New Roman"/>
                <w:b w:val="0"/>
                <w:bCs w:val="0"/>
                <w:sz w:val="21"/>
                <w:szCs w:val="21"/>
              </w:rPr>
              <w:t>级</w:t>
            </w:r>
            <w:r>
              <w:rPr>
                <w:rFonts w:hint="eastAsia" w:ascii="Times New Roman" w:hAnsi="Times New Roman"/>
                <w:b w:val="0"/>
                <w:bCs w:val="0"/>
                <w:sz w:val="21"/>
                <w:szCs w:val="21"/>
              </w:rPr>
              <w:t>(</w:t>
            </w:r>
            <w:r>
              <w:rPr>
                <w:rFonts w:ascii="Times New Roman" w:hAnsi="Times New Roman"/>
                <w:b w:val="0"/>
                <w:bCs w:val="0"/>
                <w:sz w:val="21"/>
                <w:szCs w:val="21"/>
              </w:rPr>
              <w:t>TEM</w:t>
            </w:r>
            <w:r>
              <w:rPr>
                <w:rFonts w:hint="eastAsia" w:ascii="Times New Roman" w:hAnsi="Times New Roman"/>
                <w:b w:val="0"/>
                <w:bCs w:val="0"/>
                <w:sz w:val="21"/>
                <w:szCs w:val="21"/>
              </w:rPr>
              <w:t>-8)</w:t>
            </w:r>
            <w:r>
              <w:rPr>
                <w:rFonts w:ascii="Times New Roman" w:hAnsi="Times New Roman"/>
                <w:b w:val="0"/>
                <w:bCs w:val="0"/>
                <w:sz w:val="21"/>
                <w:szCs w:val="21"/>
              </w:rPr>
              <w:t>考试成绩为80分</w:t>
            </w:r>
            <w:r>
              <w:rPr>
                <w:rFonts w:hint="eastAsia" w:ascii="Times New Roman" w:hAnsi="Times New Roman"/>
                <w:b w:val="0"/>
                <w:bCs w:val="0"/>
                <w:sz w:val="21"/>
                <w:szCs w:val="21"/>
              </w:rPr>
              <w:t>(含)及</w:t>
            </w:r>
            <w:r>
              <w:rPr>
                <w:rFonts w:ascii="Times New Roman" w:hAnsi="Times New Roman"/>
                <w:b w:val="0"/>
                <w:bCs w:val="0"/>
                <w:sz w:val="21"/>
                <w:szCs w:val="21"/>
              </w:rPr>
              <w:t>以上者；</w:t>
            </w:r>
            <w:r>
              <w:rPr>
                <w:rFonts w:hint="eastAsia" w:ascii="仿宋" w:hAnsi="仿宋" w:eastAsia="仿宋"/>
                <w:b w:val="0"/>
                <w:bCs w:val="0"/>
                <w:sz w:val="21"/>
                <w:szCs w:val="21"/>
              </w:rPr>
              <w:t>B</w:t>
            </w:r>
            <w:r>
              <w:rPr>
                <w:rFonts w:ascii="仿宋" w:hAnsi="仿宋" w:eastAsia="仿宋"/>
                <w:b w:val="0"/>
                <w:bCs w:val="0"/>
                <w:sz w:val="21"/>
                <w:szCs w:val="21"/>
              </w:rPr>
              <w:t>EC</w:t>
            </w:r>
            <w:r>
              <w:rPr>
                <w:rFonts w:hint="eastAsia" w:ascii="仿宋" w:hAnsi="仿宋" w:eastAsia="仿宋"/>
                <w:b w:val="0"/>
                <w:bCs w:val="0"/>
                <w:sz w:val="21"/>
                <w:szCs w:val="21"/>
              </w:rPr>
              <w:t>考试、国才考试、中级高级口译</w:t>
            </w:r>
            <w:r>
              <w:rPr>
                <w:rFonts w:hint="eastAsia" w:ascii="Times New Roman" w:hAnsi="Times New Roman"/>
                <w:b w:val="0"/>
                <w:bCs w:val="0"/>
                <w:sz w:val="21"/>
                <w:szCs w:val="21"/>
              </w:rPr>
              <w:t>(</w:t>
            </w:r>
            <w:r>
              <w:rPr>
                <w:rFonts w:ascii="Times New Roman" w:hAnsi="Times New Roman"/>
                <w:b w:val="0"/>
                <w:bCs w:val="0"/>
                <w:sz w:val="21"/>
                <w:szCs w:val="21"/>
              </w:rPr>
              <w:t>小语种参加本专业的专业</w:t>
            </w:r>
            <w:r>
              <w:rPr>
                <w:rFonts w:hint="eastAsia" w:ascii="Times New Roman" w:hAnsi="Times New Roman"/>
                <w:b w:val="0"/>
                <w:bCs w:val="0"/>
                <w:sz w:val="21"/>
                <w:szCs w:val="21"/>
              </w:rPr>
              <w:t>八级)</w:t>
            </w:r>
          </w:p>
        </w:tc>
        <w:tc>
          <w:tcPr>
            <w:tcW w:w="735" w:type="dxa"/>
            <w:vAlign w:val="center"/>
          </w:tcPr>
          <w:p>
            <w:pPr>
              <w:pStyle w:val="5"/>
              <w:snapToGrid w:val="0"/>
              <w:spacing w:before="0" w:beforeAutospacing="0" w:after="0" w:afterAutospacing="0"/>
              <w:jc w:val="center"/>
              <w:rPr>
                <w:rFonts w:ascii="Times New Roman" w:hAnsi="Times New Roman"/>
                <w:sz w:val="21"/>
                <w:szCs w:val="21"/>
              </w:rPr>
            </w:pPr>
            <w:r>
              <w:rPr>
                <w:rFonts w:hint="eastAsia" w:ascii="Times New Roman" w:hAnsi="Times New Roman"/>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6790" w:type="dxa"/>
          </w:tcPr>
          <w:p>
            <w:pPr>
              <w:pStyle w:val="5"/>
              <w:snapToGrid w:val="0"/>
              <w:spacing w:before="0" w:beforeAutospacing="0" w:after="0" w:afterAutospacing="0"/>
              <w:rPr>
                <w:rFonts w:ascii="Times New Roman" w:hAnsi="Times New Roman"/>
                <w:b w:val="0"/>
                <w:bCs w:val="0"/>
                <w:sz w:val="21"/>
                <w:szCs w:val="21"/>
              </w:rPr>
            </w:pPr>
            <w:r>
              <w:rPr>
                <w:rFonts w:hint="eastAsia" w:ascii="Times New Roman" w:hAnsi="Times New Roman"/>
                <w:b w:val="0"/>
                <w:bCs w:val="0"/>
                <w:sz w:val="21"/>
                <w:szCs w:val="21"/>
              </w:rPr>
              <w:t>3</w:t>
            </w:r>
            <w:r>
              <w:rPr>
                <w:rFonts w:ascii="Times New Roman" w:hAnsi="Times New Roman"/>
                <w:b w:val="0"/>
                <w:bCs w:val="0"/>
                <w:sz w:val="21"/>
                <w:szCs w:val="21"/>
              </w:rPr>
              <w:t>．参加全国专业英语四级</w:t>
            </w:r>
            <w:r>
              <w:rPr>
                <w:rFonts w:hint="eastAsia" w:ascii="Times New Roman" w:hAnsi="Times New Roman"/>
                <w:b w:val="0"/>
                <w:bCs w:val="0"/>
                <w:sz w:val="21"/>
                <w:szCs w:val="21"/>
              </w:rPr>
              <w:t>(</w:t>
            </w:r>
            <w:r>
              <w:rPr>
                <w:rFonts w:ascii="Times New Roman" w:hAnsi="Times New Roman"/>
                <w:b w:val="0"/>
                <w:bCs w:val="0"/>
                <w:sz w:val="21"/>
                <w:szCs w:val="21"/>
              </w:rPr>
              <w:t>TEM</w:t>
            </w:r>
            <w:r>
              <w:rPr>
                <w:rFonts w:hint="eastAsia" w:ascii="Times New Roman" w:hAnsi="Times New Roman"/>
                <w:b w:val="0"/>
                <w:bCs w:val="0"/>
                <w:sz w:val="21"/>
                <w:szCs w:val="21"/>
              </w:rPr>
              <w:t>-</w:t>
            </w:r>
            <w:r>
              <w:rPr>
                <w:rFonts w:ascii="Times New Roman" w:hAnsi="Times New Roman"/>
                <w:b w:val="0"/>
                <w:bCs w:val="0"/>
                <w:sz w:val="21"/>
                <w:szCs w:val="21"/>
              </w:rPr>
              <w:t>4</w:t>
            </w:r>
            <w:r>
              <w:rPr>
                <w:rFonts w:hint="eastAsia" w:ascii="Times New Roman" w:hAnsi="Times New Roman"/>
                <w:b w:val="0"/>
                <w:bCs w:val="0"/>
                <w:sz w:val="21"/>
                <w:szCs w:val="21"/>
              </w:rPr>
              <w:t>)</w:t>
            </w:r>
            <w:r>
              <w:rPr>
                <w:rFonts w:ascii="Times New Roman" w:hAnsi="Times New Roman"/>
                <w:b w:val="0"/>
                <w:bCs w:val="0"/>
                <w:sz w:val="21"/>
                <w:szCs w:val="21"/>
              </w:rPr>
              <w:t>考试成绩为80分</w:t>
            </w:r>
            <w:r>
              <w:rPr>
                <w:rFonts w:hint="eastAsia" w:ascii="Times New Roman" w:hAnsi="Times New Roman"/>
                <w:b w:val="0"/>
                <w:bCs w:val="0"/>
                <w:sz w:val="21"/>
                <w:szCs w:val="21"/>
              </w:rPr>
              <w:t>(含)及</w:t>
            </w:r>
            <w:r>
              <w:rPr>
                <w:rFonts w:ascii="Times New Roman" w:hAnsi="Times New Roman"/>
                <w:b w:val="0"/>
                <w:bCs w:val="0"/>
                <w:sz w:val="21"/>
                <w:szCs w:val="21"/>
              </w:rPr>
              <w:t>以上者；参加全国专业英语八级</w:t>
            </w:r>
            <w:r>
              <w:rPr>
                <w:rFonts w:hint="eastAsia" w:ascii="Times New Roman" w:hAnsi="Times New Roman"/>
                <w:b w:val="0"/>
                <w:bCs w:val="0"/>
                <w:sz w:val="21"/>
                <w:szCs w:val="21"/>
              </w:rPr>
              <w:t>(</w:t>
            </w:r>
            <w:r>
              <w:rPr>
                <w:rFonts w:ascii="Times New Roman" w:hAnsi="Times New Roman"/>
                <w:b w:val="0"/>
                <w:bCs w:val="0"/>
                <w:sz w:val="21"/>
                <w:szCs w:val="21"/>
              </w:rPr>
              <w:t>TEM</w:t>
            </w:r>
            <w:r>
              <w:rPr>
                <w:rFonts w:hint="eastAsia" w:ascii="Times New Roman" w:hAnsi="Times New Roman"/>
                <w:b w:val="0"/>
                <w:bCs w:val="0"/>
                <w:sz w:val="21"/>
                <w:szCs w:val="21"/>
              </w:rPr>
              <w:t>-</w:t>
            </w:r>
            <w:r>
              <w:rPr>
                <w:rFonts w:ascii="Times New Roman" w:hAnsi="Times New Roman"/>
                <w:b w:val="0"/>
                <w:bCs w:val="0"/>
                <w:sz w:val="21"/>
                <w:szCs w:val="21"/>
              </w:rPr>
              <w:t>8</w:t>
            </w:r>
            <w:r>
              <w:rPr>
                <w:rFonts w:hint="eastAsia" w:ascii="Times New Roman" w:hAnsi="Times New Roman"/>
                <w:b w:val="0"/>
                <w:bCs w:val="0"/>
                <w:sz w:val="21"/>
                <w:szCs w:val="21"/>
              </w:rPr>
              <w:t>)</w:t>
            </w:r>
            <w:r>
              <w:rPr>
                <w:rFonts w:ascii="Times New Roman" w:hAnsi="Times New Roman"/>
                <w:b w:val="0"/>
                <w:bCs w:val="0"/>
                <w:sz w:val="21"/>
                <w:szCs w:val="21"/>
              </w:rPr>
              <w:t>考试成绩合格者；</w:t>
            </w:r>
            <w:r>
              <w:rPr>
                <w:rFonts w:hint="eastAsia" w:ascii="Times New Roman" w:hAnsi="Times New Roman"/>
                <w:b w:val="0"/>
                <w:bCs w:val="0"/>
                <w:sz w:val="21"/>
                <w:szCs w:val="21"/>
              </w:rPr>
              <w:t>(</w:t>
            </w:r>
            <w:r>
              <w:rPr>
                <w:rFonts w:ascii="Times New Roman" w:hAnsi="Times New Roman"/>
                <w:b w:val="0"/>
                <w:bCs w:val="0"/>
                <w:sz w:val="21"/>
                <w:szCs w:val="21"/>
              </w:rPr>
              <w:t>小语种参加本专业的专业四级和专业八级</w:t>
            </w:r>
            <w:r>
              <w:rPr>
                <w:rFonts w:hint="eastAsia" w:ascii="Times New Roman" w:hAnsi="Times New Roman"/>
                <w:b w:val="0"/>
                <w:bCs w:val="0"/>
                <w:sz w:val="21"/>
                <w:szCs w:val="21"/>
              </w:rPr>
              <w:t>)</w:t>
            </w:r>
          </w:p>
        </w:tc>
        <w:tc>
          <w:tcPr>
            <w:tcW w:w="735"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6790" w:type="dxa"/>
          </w:tcPr>
          <w:p>
            <w:pPr>
              <w:pStyle w:val="5"/>
              <w:snapToGrid w:val="0"/>
              <w:spacing w:before="0" w:beforeAutospacing="0" w:after="0" w:afterAutospacing="0"/>
              <w:rPr>
                <w:rFonts w:ascii="Times New Roman" w:hAnsi="Times New Roman"/>
                <w:b w:val="0"/>
                <w:bCs w:val="0"/>
                <w:sz w:val="21"/>
                <w:szCs w:val="21"/>
              </w:rPr>
            </w:pPr>
            <w:r>
              <w:rPr>
                <w:rFonts w:hint="eastAsia" w:ascii="Times New Roman" w:hAnsi="Times New Roman"/>
                <w:b w:val="0"/>
                <w:bCs w:val="0"/>
                <w:sz w:val="21"/>
                <w:szCs w:val="21"/>
              </w:rPr>
              <w:t>4</w:t>
            </w:r>
            <w:r>
              <w:rPr>
                <w:rFonts w:ascii="Times New Roman" w:hAnsi="Times New Roman"/>
                <w:b w:val="0"/>
                <w:bCs w:val="0"/>
                <w:sz w:val="21"/>
                <w:szCs w:val="21"/>
              </w:rPr>
              <w:t>．参加全国大学英语四级</w:t>
            </w:r>
            <w:r>
              <w:rPr>
                <w:rFonts w:hint="eastAsia" w:ascii="Times New Roman" w:hAnsi="Times New Roman"/>
                <w:b w:val="0"/>
                <w:bCs w:val="0"/>
                <w:sz w:val="21"/>
                <w:szCs w:val="21"/>
              </w:rPr>
              <w:t>(</w:t>
            </w:r>
            <w:r>
              <w:rPr>
                <w:rFonts w:ascii="Times New Roman" w:hAnsi="Times New Roman"/>
                <w:b w:val="0"/>
                <w:bCs w:val="0"/>
                <w:sz w:val="21"/>
                <w:szCs w:val="21"/>
              </w:rPr>
              <w:t>CET-4</w:t>
            </w:r>
            <w:r>
              <w:rPr>
                <w:rFonts w:hint="eastAsia" w:ascii="Times New Roman" w:hAnsi="Times New Roman"/>
                <w:b w:val="0"/>
                <w:bCs w:val="0"/>
                <w:sz w:val="21"/>
                <w:szCs w:val="21"/>
              </w:rPr>
              <w:t>)</w:t>
            </w:r>
            <w:r>
              <w:rPr>
                <w:rFonts w:ascii="Times New Roman" w:hAnsi="Times New Roman"/>
                <w:b w:val="0"/>
                <w:bCs w:val="0"/>
                <w:sz w:val="21"/>
                <w:szCs w:val="21"/>
              </w:rPr>
              <w:t>考试成绩为550分</w:t>
            </w:r>
            <w:r>
              <w:rPr>
                <w:rFonts w:hint="eastAsia" w:ascii="Times New Roman" w:hAnsi="Times New Roman"/>
                <w:b w:val="0"/>
                <w:bCs w:val="0"/>
                <w:sz w:val="21"/>
                <w:szCs w:val="21"/>
              </w:rPr>
              <w:t>(含)及</w:t>
            </w:r>
            <w:r>
              <w:rPr>
                <w:rFonts w:ascii="Times New Roman" w:hAnsi="Times New Roman"/>
                <w:b w:val="0"/>
                <w:bCs w:val="0"/>
                <w:sz w:val="21"/>
                <w:szCs w:val="21"/>
              </w:rPr>
              <w:t>以上者；参加全国大学英语六级</w:t>
            </w:r>
            <w:r>
              <w:rPr>
                <w:rFonts w:hint="eastAsia" w:ascii="Times New Roman" w:hAnsi="Times New Roman"/>
                <w:b w:val="0"/>
                <w:bCs w:val="0"/>
                <w:sz w:val="21"/>
                <w:szCs w:val="21"/>
              </w:rPr>
              <w:t>(</w:t>
            </w:r>
            <w:r>
              <w:rPr>
                <w:rFonts w:ascii="Times New Roman" w:hAnsi="Times New Roman"/>
                <w:b w:val="0"/>
                <w:bCs w:val="0"/>
                <w:sz w:val="21"/>
                <w:szCs w:val="21"/>
              </w:rPr>
              <w:t>CET-6</w:t>
            </w:r>
            <w:r>
              <w:rPr>
                <w:rFonts w:hint="eastAsia" w:ascii="Times New Roman" w:hAnsi="Times New Roman"/>
                <w:b w:val="0"/>
                <w:bCs w:val="0"/>
                <w:sz w:val="21"/>
                <w:szCs w:val="21"/>
              </w:rPr>
              <w:t>)</w:t>
            </w:r>
            <w:r>
              <w:rPr>
                <w:rFonts w:ascii="Times New Roman" w:hAnsi="Times New Roman"/>
                <w:b w:val="0"/>
                <w:bCs w:val="0"/>
                <w:sz w:val="21"/>
                <w:szCs w:val="21"/>
              </w:rPr>
              <w:t>考试成绩为550分</w:t>
            </w:r>
            <w:r>
              <w:rPr>
                <w:rFonts w:hint="eastAsia" w:ascii="Times New Roman" w:hAnsi="Times New Roman"/>
                <w:b w:val="0"/>
                <w:bCs w:val="0"/>
                <w:sz w:val="21"/>
                <w:szCs w:val="21"/>
              </w:rPr>
              <w:t>(含)及</w:t>
            </w:r>
            <w:r>
              <w:rPr>
                <w:rFonts w:ascii="Times New Roman" w:hAnsi="Times New Roman"/>
                <w:b w:val="0"/>
                <w:bCs w:val="0"/>
                <w:sz w:val="21"/>
                <w:szCs w:val="21"/>
              </w:rPr>
              <w:t>以上者</w:t>
            </w:r>
            <w:r>
              <w:rPr>
                <w:rFonts w:hint="eastAsia" w:ascii="Times New Roman" w:hAnsi="Times New Roman"/>
                <w:b w:val="0"/>
                <w:bCs w:val="0"/>
                <w:sz w:val="21"/>
                <w:szCs w:val="21"/>
              </w:rPr>
              <w:t>；</w:t>
            </w:r>
            <w:r>
              <w:rPr>
                <w:rFonts w:hint="eastAsia" w:ascii="仿宋_GB2312" w:hAnsi="仿宋_GB2312" w:eastAsia="仿宋_GB2312" w:cs="仿宋_GB2312"/>
                <w:b w:val="0"/>
                <w:bCs w:val="0"/>
                <w:sz w:val="21"/>
                <w:szCs w:val="21"/>
              </w:rPr>
              <w:t>参加大学日语六级考试成绩为85分(含)及以上者；参加大学德语四级考试成绩为80分（含）以上者；参加大学德语六级考试成绩为70分（含）及以上者；参加大学法语四级考试成绩为75分(含)及以上者。</w:t>
            </w:r>
          </w:p>
        </w:tc>
        <w:tc>
          <w:tcPr>
            <w:tcW w:w="735"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 w:hRule="atLeast"/>
          <w:jc w:val="center"/>
        </w:trPr>
        <w:tc>
          <w:tcPr>
            <w:tcW w:w="6790" w:type="dxa"/>
          </w:tcPr>
          <w:p>
            <w:pPr>
              <w:pStyle w:val="5"/>
              <w:snapToGrid w:val="0"/>
              <w:spacing w:before="0" w:beforeAutospacing="0" w:after="0" w:afterAutospacing="0"/>
              <w:rPr>
                <w:rFonts w:ascii="Times New Roman" w:hAnsi="Times New Roman"/>
                <w:b w:val="0"/>
                <w:bCs w:val="0"/>
                <w:sz w:val="21"/>
                <w:szCs w:val="21"/>
              </w:rPr>
            </w:pPr>
            <w:r>
              <w:rPr>
                <w:rFonts w:hint="eastAsia" w:ascii="Times New Roman" w:hAnsi="Times New Roman"/>
                <w:b w:val="0"/>
                <w:bCs w:val="0"/>
                <w:sz w:val="21"/>
                <w:szCs w:val="21"/>
              </w:rPr>
              <w:t>5</w:t>
            </w:r>
            <w:r>
              <w:rPr>
                <w:rFonts w:ascii="Times New Roman" w:hAnsi="Times New Roman"/>
                <w:b w:val="0"/>
                <w:bCs w:val="0"/>
                <w:sz w:val="21"/>
                <w:szCs w:val="21"/>
              </w:rPr>
              <w:t>．参加全国大学英语六级</w:t>
            </w:r>
            <w:r>
              <w:rPr>
                <w:rFonts w:hint="eastAsia" w:ascii="Times New Roman" w:hAnsi="Times New Roman"/>
                <w:b w:val="0"/>
                <w:bCs w:val="0"/>
                <w:sz w:val="21"/>
                <w:szCs w:val="21"/>
              </w:rPr>
              <w:t>(</w:t>
            </w:r>
            <w:r>
              <w:rPr>
                <w:rFonts w:ascii="Times New Roman" w:hAnsi="Times New Roman"/>
                <w:b w:val="0"/>
                <w:bCs w:val="0"/>
                <w:sz w:val="21"/>
                <w:szCs w:val="21"/>
              </w:rPr>
              <w:t>CET-6</w:t>
            </w:r>
            <w:r>
              <w:rPr>
                <w:rFonts w:hint="eastAsia" w:ascii="Times New Roman" w:hAnsi="Times New Roman"/>
                <w:b w:val="0"/>
                <w:bCs w:val="0"/>
                <w:sz w:val="21"/>
                <w:szCs w:val="21"/>
              </w:rPr>
              <w:t>)</w:t>
            </w:r>
            <w:r>
              <w:rPr>
                <w:rFonts w:ascii="Times New Roman" w:hAnsi="Times New Roman"/>
                <w:b w:val="0"/>
                <w:bCs w:val="0"/>
                <w:sz w:val="21"/>
                <w:szCs w:val="21"/>
              </w:rPr>
              <w:t>考试成绩为425分</w:t>
            </w:r>
            <w:r>
              <w:rPr>
                <w:rFonts w:hint="eastAsia" w:ascii="Times New Roman" w:hAnsi="Times New Roman"/>
                <w:b w:val="0"/>
                <w:bCs w:val="0"/>
                <w:sz w:val="21"/>
                <w:szCs w:val="21"/>
              </w:rPr>
              <w:t>(含)及</w:t>
            </w:r>
            <w:r>
              <w:rPr>
                <w:rFonts w:ascii="Times New Roman" w:hAnsi="Times New Roman"/>
                <w:b w:val="0"/>
                <w:bCs w:val="0"/>
                <w:sz w:val="21"/>
                <w:szCs w:val="21"/>
              </w:rPr>
              <w:t>以上者</w:t>
            </w:r>
            <w:r>
              <w:rPr>
                <w:rFonts w:hint="eastAsia" w:ascii="Times New Roman" w:hAnsi="Times New Roman"/>
                <w:b w:val="0"/>
                <w:bCs w:val="0"/>
                <w:sz w:val="21"/>
                <w:szCs w:val="21"/>
              </w:rPr>
              <w:t>；</w:t>
            </w:r>
            <w:r>
              <w:rPr>
                <w:rFonts w:hint="eastAsia" w:ascii="仿宋_GB2312" w:hAnsi="仿宋_GB2312" w:eastAsia="仿宋_GB2312" w:cs="仿宋_GB2312"/>
                <w:b w:val="0"/>
                <w:bCs w:val="0"/>
                <w:sz w:val="21"/>
                <w:szCs w:val="21"/>
              </w:rPr>
              <w:t>参加大学日语四级考试成绩为70分(含)及以上者；参加大学日语六级考试成绩为60分(含)及以上者；参加大学德语六级考试成绩为60分（含）以上者；参加大学法语四级考试成绩为60分(含)及以上者。</w:t>
            </w:r>
          </w:p>
        </w:tc>
        <w:tc>
          <w:tcPr>
            <w:tcW w:w="735"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w:t>
            </w:r>
          </w:p>
        </w:tc>
      </w:tr>
    </w:tbl>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注：加分以最高项为准，不累加。</w: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jc w:val="center"/>
        <w:rPr>
          <w:b/>
          <w:sz w:val="28"/>
          <w:szCs w:val="28"/>
        </w:rPr>
      </w:pPr>
      <w:r>
        <w:rPr>
          <w:rFonts w:hint="eastAsia"/>
          <w:b/>
          <w:sz w:val="28"/>
          <w:szCs w:val="28"/>
        </w:rPr>
        <w:t>表五：智育奖项奖励分标准</w:t>
      </w:r>
    </w:p>
    <w:tbl>
      <w:tblPr>
        <w:tblStyle w:val="3"/>
        <w:tblW w:w="75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4"/>
        <w:gridCol w:w="5539"/>
        <w:gridCol w:w="12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1" w:hRule="atLeast"/>
          <w:jc w:val="center"/>
        </w:trPr>
        <w:tc>
          <w:tcPr>
            <w:tcW w:w="674" w:type="dxa"/>
            <w:vAlign w:val="center"/>
          </w:tcPr>
          <w:p>
            <w:pPr>
              <w:pStyle w:val="5"/>
              <w:snapToGrid w:val="0"/>
              <w:spacing w:before="0" w:beforeAutospacing="0" w:after="0" w:afterAutospacing="0"/>
              <w:jc w:val="center"/>
              <w:rPr>
                <w:rFonts w:ascii="Times New Roman" w:hAnsi="Times New Roman"/>
                <w:b/>
                <w:sz w:val="21"/>
                <w:szCs w:val="21"/>
                <w:highlight w:val="yellow"/>
              </w:rPr>
            </w:pPr>
            <w:r>
              <w:rPr>
                <w:rFonts w:ascii="Times New Roman" w:hAnsi="Times New Roman"/>
                <w:b/>
                <w:sz w:val="21"/>
                <w:szCs w:val="21"/>
              </w:rPr>
              <w:t>等级</w:t>
            </w:r>
          </w:p>
        </w:tc>
        <w:tc>
          <w:tcPr>
            <w:tcW w:w="5539" w:type="dxa"/>
            <w:vAlign w:val="center"/>
          </w:tcPr>
          <w:p>
            <w:pPr>
              <w:pStyle w:val="5"/>
              <w:snapToGrid w:val="0"/>
              <w:spacing w:before="0" w:beforeAutospacing="0" w:after="0" w:afterAutospacing="0"/>
              <w:ind w:firstLine="422" w:firstLineChars="200"/>
              <w:jc w:val="center"/>
              <w:rPr>
                <w:rFonts w:ascii="Times New Roman" w:hAnsi="Times New Roman"/>
                <w:b/>
                <w:sz w:val="21"/>
                <w:szCs w:val="21"/>
                <w:highlight w:val="yellow"/>
              </w:rPr>
            </w:pPr>
            <w:r>
              <w:rPr>
                <w:rFonts w:ascii="Times New Roman" w:hAnsi="Times New Roman"/>
                <w:b/>
                <w:sz w:val="21"/>
                <w:szCs w:val="21"/>
              </w:rPr>
              <w:t>条  件</w:t>
            </w:r>
            <w:r>
              <w:rPr>
                <w:rFonts w:hint="eastAsia" w:ascii="Times New Roman" w:hAnsi="Times New Roman"/>
                <w:b/>
                <w:sz w:val="21"/>
                <w:szCs w:val="21"/>
              </w:rPr>
              <w:t>（排名须在前五名）</w:t>
            </w:r>
          </w:p>
        </w:tc>
        <w:tc>
          <w:tcPr>
            <w:tcW w:w="1292" w:type="dxa"/>
            <w:vAlign w:val="center"/>
          </w:tcPr>
          <w:p>
            <w:pPr>
              <w:pStyle w:val="5"/>
              <w:snapToGrid w:val="0"/>
              <w:spacing w:before="0" w:beforeAutospacing="0" w:after="0" w:afterAutospacing="0"/>
              <w:jc w:val="center"/>
              <w:rPr>
                <w:rFonts w:ascii="Times New Roman" w:hAnsi="Times New Roman"/>
                <w:b/>
                <w:sz w:val="21"/>
                <w:szCs w:val="21"/>
                <w:highlight w:val="yellow"/>
              </w:rPr>
            </w:pPr>
            <w:r>
              <w:rPr>
                <w:rFonts w:hint="eastAsia" w:ascii="Times New Roman" w:hAnsi="Times New Roman"/>
                <w:b/>
                <w:sz w:val="21"/>
                <w:szCs w:val="21"/>
              </w:rPr>
              <w:t>加分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674"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一类</w:t>
            </w:r>
          </w:p>
        </w:tc>
        <w:tc>
          <w:tcPr>
            <w:tcW w:w="5539" w:type="dxa"/>
          </w:tcPr>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1．国家级竞赛一等奖；</w:t>
            </w:r>
          </w:p>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2．国家科技进步奖；</w:t>
            </w:r>
          </w:p>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3．国家级科研成果及专利、发明奖</w:t>
            </w:r>
          </w:p>
        </w:tc>
        <w:tc>
          <w:tcPr>
            <w:tcW w:w="1292" w:type="dxa"/>
            <w:vAlign w:val="center"/>
          </w:tcPr>
          <w:p>
            <w:pPr>
              <w:pStyle w:val="5"/>
              <w:snapToGrid w:val="0"/>
              <w:spacing w:before="0" w:beforeAutospacing="0" w:after="0" w:afterAutospacing="0"/>
              <w:jc w:val="center"/>
              <w:rPr>
                <w:rFonts w:ascii="Times New Roman" w:hAnsi="Times New Roman"/>
                <w:sz w:val="21"/>
                <w:szCs w:val="21"/>
              </w:rPr>
            </w:pPr>
            <w:r>
              <w:rPr>
                <w:rFonts w:hint="eastAsia" w:ascii="Times New Roman" w:hAnsi="Times New Roman"/>
                <w:sz w:val="21"/>
                <w:szCs w:val="21"/>
              </w:rPr>
              <w:t>5</w:t>
            </w:r>
            <w:r>
              <w:rPr>
                <w:rFonts w:hint="eastAsia"/>
                <w:sz w:val="21"/>
                <w:szCs w:val="21"/>
              </w:rPr>
              <w:t>-</w:t>
            </w:r>
            <w:r>
              <w:rPr>
                <w:rFonts w:ascii="Times New Roman" w:hAnsi="Times New Roman"/>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4"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二类</w:t>
            </w:r>
          </w:p>
        </w:tc>
        <w:tc>
          <w:tcPr>
            <w:tcW w:w="5539" w:type="dxa"/>
            <w:vAlign w:val="center"/>
          </w:tcPr>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1．国家级竞赛三等奖</w:t>
            </w:r>
            <w:r>
              <w:rPr>
                <w:rFonts w:hint="eastAsia" w:ascii="Times New Roman" w:hAnsi="Times New Roman"/>
                <w:sz w:val="21"/>
                <w:szCs w:val="21"/>
              </w:rPr>
              <w:t>及</w:t>
            </w:r>
            <w:r>
              <w:rPr>
                <w:rFonts w:ascii="Times New Roman" w:hAnsi="Times New Roman"/>
                <w:sz w:val="21"/>
                <w:szCs w:val="21"/>
              </w:rPr>
              <w:t>以上</w:t>
            </w:r>
            <w:r>
              <w:rPr>
                <w:rFonts w:hint="eastAsia" w:ascii="Times New Roman" w:hAnsi="Times New Roman"/>
                <w:sz w:val="21"/>
                <w:szCs w:val="21"/>
              </w:rPr>
              <w:t>，</w:t>
            </w:r>
            <w:r>
              <w:rPr>
                <w:rFonts w:ascii="Times New Roman" w:hAnsi="Times New Roman"/>
                <w:sz w:val="21"/>
                <w:szCs w:val="21"/>
              </w:rPr>
              <w:t>省、市级竞赛一等奖；</w:t>
            </w:r>
          </w:p>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2．论文在专业核心刊物上发表；</w:t>
            </w:r>
          </w:p>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3．省、市级科研成果或科技进步奖</w:t>
            </w:r>
          </w:p>
        </w:tc>
        <w:tc>
          <w:tcPr>
            <w:tcW w:w="1292" w:type="dxa"/>
            <w:vAlign w:val="center"/>
          </w:tcPr>
          <w:p>
            <w:pPr>
              <w:pStyle w:val="5"/>
              <w:snapToGrid w:val="0"/>
              <w:spacing w:before="0" w:beforeAutospacing="0" w:after="0" w:afterAutospacing="0"/>
              <w:jc w:val="center"/>
              <w:rPr>
                <w:rFonts w:ascii="Times New Roman" w:hAnsi="Times New Roman"/>
                <w:sz w:val="21"/>
                <w:szCs w:val="21"/>
              </w:rPr>
            </w:pPr>
            <w:r>
              <w:rPr>
                <w:rFonts w:hint="eastAsia" w:ascii="Times New Roman" w:hAnsi="Times New Roman"/>
                <w:sz w:val="21"/>
                <w:szCs w:val="21"/>
              </w:rPr>
              <w:t>5</w:t>
            </w:r>
            <w:r>
              <w:rPr>
                <w:rFonts w:hint="eastAsia"/>
                <w:sz w:val="21"/>
                <w:szCs w:val="21"/>
              </w:rPr>
              <w:t>-</w:t>
            </w:r>
            <w:r>
              <w:rPr>
                <w:rFonts w:ascii="Times New Roman" w:hAnsi="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 w:hRule="atLeast"/>
          <w:jc w:val="center"/>
        </w:trPr>
        <w:tc>
          <w:tcPr>
            <w:tcW w:w="674"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三类</w:t>
            </w:r>
          </w:p>
        </w:tc>
        <w:tc>
          <w:tcPr>
            <w:tcW w:w="5539" w:type="dxa"/>
            <w:vAlign w:val="center"/>
          </w:tcPr>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1．省、市级其他各等奖；</w:t>
            </w:r>
          </w:p>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2．论文在一般刊物上发表；</w:t>
            </w:r>
            <w:r>
              <w:rPr>
                <w:rFonts w:hint="eastAsia" w:ascii="Times New Roman" w:hAnsi="Times New Roman"/>
                <w:sz w:val="21"/>
                <w:szCs w:val="21"/>
              </w:rPr>
              <w:t>（排名须在前三名）</w:t>
            </w:r>
          </w:p>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3．校级竞赛一等奖；</w:t>
            </w:r>
          </w:p>
          <w:p>
            <w:pPr>
              <w:pStyle w:val="5"/>
              <w:snapToGrid w:val="0"/>
              <w:spacing w:before="0" w:beforeAutospacing="0" w:after="0" w:afterAutospacing="0"/>
              <w:rPr>
                <w:rFonts w:ascii="Times New Roman" w:hAnsi="Times New Roman"/>
                <w:sz w:val="21"/>
                <w:szCs w:val="21"/>
              </w:rPr>
            </w:pPr>
            <w:r>
              <w:rPr>
                <w:rFonts w:ascii="Times New Roman" w:hAnsi="Times New Roman"/>
                <w:sz w:val="21"/>
                <w:szCs w:val="21"/>
              </w:rPr>
              <w:t>4．设计、实习或论文有独创成果并经学校认可</w:t>
            </w:r>
          </w:p>
        </w:tc>
        <w:tc>
          <w:tcPr>
            <w:tcW w:w="1292"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74"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四类</w:t>
            </w:r>
          </w:p>
        </w:tc>
        <w:tc>
          <w:tcPr>
            <w:tcW w:w="5539" w:type="dxa"/>
            <w:vAlign w:val="center"/>
          </w:tcPr>
          <w:p>
            <w:r>
              <w:rPr>
                <w:rFonts w:ascii="Times New Roman" w:hAnsi="Times New Roman"/>
                <w:sz w:val="21"/>
                <w:szCs w:val="21"/>
              </w:rPr>
              <w:t>1．校级竞赛三等奖</w:t>
            </w:r>
            <w:r>
              <w:rPr>
                <w:rFonts w:hint="eastAsia" w:ascii="Times New Roman" w:hAnsi="Times New Roman"/>
                <w:sz w:val="21"/>
                <w:szCs w:val="21"/>
              </w:rPr>
              <w:t>及</w:t>
            </w:r>
            <w:r>
              <w:rPr>
                <w:rFonts w:ascii="Times New Roman" w:hAnsi="Times New Roman"/>
                <w:sz w:val="21"/>
                <w:szCs w:val="21"/>
              </w:rPr>
              <w:t>以上；</w:t>
            </w:r>
          </w:p>
          <w:p>
            <w:pPr>
              <w:pStyle w:val="5"/>
              <w:snapToGrid w:val="0"/>
              <w:spacing w:before="0" w:beforeAutospacing="0" w:after="0" w:afterAutospacing="0"/>
              <w:rPr>
                <w:rFonts w:ascii="Times New Roman" w:hAnsi="Times New Roman"/>
                <w:sz w:val="21"/>
                <w:szCs w:val="21"/>
              </w:rPr>
            </w:pPr>
          </w:p>
        </w:tc>
        <w:tc>
          <w:tcPr>
            <w:tcW w:w="1292"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w:t>
            </w:r>
          </w:p>
        </w:tc>
      </w:tr>
    </w:tbl>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注：1．智育成绩总分不超过100分；</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2．所有文章署名必须用原名，不能用笔名；</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3．同一篇文章同时在内部和公开刊物上发表，以最高加分为准，不累加；</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4．论文或其它成果应提供正本或有效证明，经核准后方可加分；</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5．竞赛项目由教务处核定；</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6．加分以最高项为准，不累加。</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Calibri" w:eastAsia="仿宋_GB2312"/>
          <w:b/>
          <w:bCs/>
          <w:color w:val="000000"/>
          <w:sz w:val="32"/>
          <w:szCs w:val="32"/>
          <w:lang w:eastAsia="zh-CN"/>
        </w:rPr>
      </w:pPr>
      <w:r>
        <w:rPr>
          <w:rFonts w:hint="eastAsia" w:ascii="仿宋_GB2312" w:hAnsi="Calibri" w:eastAsia="仿宋_GB2312"/>
          <w:b/>
          <w:bCs/>
          <w:color w:val="000000"/>
          <w:sz w:val="32"/>
          <w:szCs w:val="32"/>
          <w:lang w:eastAsia="zh-CN"/>
        </w:rPr>
        <w:t>四、体育成绩评分标准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体育成绩（满分100分）= 基础分 + 体育奖惩分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（一）基础分</w:t>
      </w:r>
    </w:p>
    <w:p>
      <w:pPr>
        <w:keepNext w:val="0"/>
        <w:keepLines w:val="0"/>
        <w:pageBreakBefore w:val="0"/>
        <w:widowControl w:val="0"/>
        <w:kinsoku/>
        <w:wordWrap/>
        <w:overflowPunct/>
        <w:topLinePunct w:val="0"/>
        <w:autoSpaceDE/>
        <w:autoSpaceDN/>
        <w:bidi w:val="0"/>
        <w:adjustRightInd w:val="0"/>
        <w:snapToGrid w:val="0"/>
        <w:spacing w:line="460" w:lineRule="exact"/>
        <w:ind w:firstLine="960" w:firstLineChars="3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1．学生有体育课时，以体育课成绩为准；</w:t>
      </w:r>
    </w:p>
    <w:p>
      <w:pPr>
        <w:keepNext w:val="0"/>
        <w:keepLines w:val="0"/>
        <w:pageBreakBefore w:val="0"/>
        <w:widowControl w:val="0"/>
        <w:kinsoku/>
        <w:wordWrap/>
        <w:overflowPunct/>
        <w:topLinePunct w:val="0"/>
        <w:autoSpaceDE/>
        <w:autoSpaceDN/>
        <w:bidi w:val="0"/>
        <w:adjustRightInd w:val="0"/>
        <w:snapToGrid w:val="0"/>
        <w:spacing w:line="460" w:lineRule="exact"/>
        <w:ind w:firstLine="960" w:firstLineChars="3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2．无体育课或由于健康原因免修时，基础分70分，要求：坚持参加体育锻炼和各种文体活动，能参加各种文体活动中的后勤组织工作，身体素质良好。未能达到此要求者酌情扣分。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（二）体育奖惩分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具体标准见表六、表七、表八。</w:t>
      </w:r>
    </w:p>
    <w:p>
      <w:pPr>
        <w:spacing w:line="440" w:lineRule="exact"/>
        <w:jc w:val="center"/>
        <w:rPr>
          <w:b/>
          <w:sz w:val="28"/>
          <w:szCs w:val="28"/>
        </w:rPr>
      </w:pPr>
      <w:r>
        <w:rPr>
          <w:rFonts w:hint="eastAsia"/>
          <w:b/>
          <w:sz w:val="28"/>
          <w:szCs w:val="28"/>
        </w:rPr>
        <w:t>表六：体育奖惩分标准</w:t>
      </w:r>
    </w:p>
    <w:tbl>
      <w:tblPr>
        <w:tblStyle w:val="3"/>
        <w:tblW w:w="75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94"/>
        <w:gridCol w:w="764"/>
        <w:gridCol w:w="2880"/>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2994" w:type="dxa"/>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奖 励 要 求</w:t>
            </w:r>
          </w:p>
        </w:tc>
        <w:tc>
          <w:tcPr>
            <w:tcW w:w="764" w:type="dxa"/>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加分</w:t>
            </w:r>
          </w:p>
        </w:tc>
        <w:tc>
          <w:tcPr>
            <w:tcW w:w="2880" w:type="dxa"/>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惩 罚 理 由</w:t>
            </w:r>
          </w:p>
        </w:tc>
        <w:tc>
          <w:tcPr>
            <w:tcW w:w="900" w:type="dxa"/>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2994"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参加校、院级文体代表队</w:t>
            </w:r>
          </w:p>
        </w:tc>
        <w:tc>
          <w:tcPr>
            <w:tcW w:w="764"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3</w:t>
            </w:r>
          </w:p>
        </w:tc>
        <w:tc>
          <w:tcPr>
            <w:tcW w:w="288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凡要求参加的文体活动，无故不参加</w:t>
            </w:r>
          </w:p>
        </w:tc>
        <w:tc>
          <w:tcPr>
            <w:tcW w:w="90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w:t>
            </w:r>
            <w:r>
              <w:rPr>
                <w:rFonts w:hint="eastAsia"/>
                <w:sz w:val="21"/>
                <w:szCs w:val="21"/>
              </w:rPr>
              <w:t>-</w:t>
            </w:r>
            <w:r>
              <w:rPr>
                <w:rFonts w:ascii="Times New Roman" w:hAnsi="Times New Roman"/>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994"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参加体育竞赛的运动员及获奖者</w:t>
            </w:r>
            <w:r>
              <w:rPr>
                <w:rFonts w:hint="eastAsia" w:ascii="Times New Roman" w:hAnsi="Times New Roman"/>
                <w:sz w:val="21"/>
                <w:szCs w:val="21"/>
              </w:rPr>
              <w:t>，以及</w:t>
            </w:r>
            <w:r>
              <w:rPr>
                <w:rFonts w:ascii="Times New Roman" w:hAnsi="Times New Roman"/>
                <w:sz w:val="21"/>
                <w:szCs w:val="21"/>
              </w:rPr>
              <w:t>集体项目的主力队员，每项加分 （非主力队员减半）</w:t>
            </w:r>
          </w:p>
        </w:tc>
        <w:tc>
          <w:tcPr>
            <w:tcW w:w="764"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表</w:t>
            </w:r>
            <w:r>
              <w:rPr>
                <w:rFonts w:hint="eastAsia" w:ascii="Times New Roman" w:hAnsi="Times New Roman"/>
                <w:sz w:val="21"/>
                <w:szCs w:val="21"/>
              </w:rPr>
              <w:t>七</w:t>
            </w:r>
          </w:p>
        </w:tc>
        <w:tc>
          <w:tcPr>
            <w:tcW w:w="288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校文体代表队员无故不参加训练者</w:t>
            </w:r>
          </w:p>
        </w:tc>
        <w:tc>
          <w:tcPr>
            <w:tcW w:w="90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2994"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参加文娱演出、竞赛加分</w:t>
            </w:r>
          </w:p>
        </w:tc>
        <w:tc>
          <w:tcPr>
            <w:tcW w:w="764"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表</w:t>
            </w:r>
            <w:r>
              <w:rPr>
                <w:rFonts w:hint="eastAsia" w:ascii="Times New Roman" w:hAnsi="Times New Roman"/>
                <w:sz w:val="21"/>
                <w:szCs w:val="21"/>
              </w:rPr>
              <w:t>八</w:t>
            </w:r>
          </w:p>
        </w:tc>
        <w:tc>
          <w:tcPr>
            <w:tcW w:w="288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校文体代表队成员中途无故退出者</w:t>
            </w:r>
          </w:p>
        </w:tc>
        <w:tc>
          <w:tcPr>
            <w:tcW w:w="90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5</w:t>
            </w:r>
          </w:p>
        </w:tc>
      </w:tr>
    </w:tbl>
    <w:p>
      <w:pPr>
        <w:spacing w:line="440" w:lineRule="exact"/>
        <w:rPr>
          <w:rFonts w:ascii="宋体" w:hAnsi="宋体"/>
          <w:sz w:val="28"/>
          <w:szCs w:val="28"/>
        </w:rPr>
      </w:pPr>
    </w:p>
    <w:p>
      <w:pPr>
        <w:spacing w:line="440" w:lineRule="exact"/>
        <w:jc w:val="center"/>
        <w:rPr>
          <w:b/>
          <w:sz w:val="28"/>
          <w:szCs w:val="28"/>
        </w:rPr>
      </w:pPr>
      <w:r>
        <w:rPr>
          <w:rFonts w:hint="eastAsia"/>
          <w:b/>
          <w:sz w:val="28"/>
          <w:szCs w:val="28"/>
        </w:rPr>
        <w:t>表七：参加体育竞赛的加分标准</w:t>
      </w:r>
    </w:p>
    <w:tbl>
      <w:tblPr>
        <w:tblStyle w:val="3"/>
        <w:tblW w:w="7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308"/>
        <w:gridCol w:w="944"/>
        <w:gridCol w:w="902"/>
        <w:gridCol w:w="898"/>
        <w:gridCol w:w="900"/>
        <w:gridCol w:w="856"/>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124" w:type="dxa"/>
            <w:tcBorders>
              <w:top w:val="single" w:color="auto" w:sz="12" w:space="0"/>
              <w:left w:val="single" w:color="auto" w:sz="12"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等 级</w:t>
            </w:r>
          </w:p>
        </w:tc>
        <w:tc>
          <w:tcPr>
            <w:tcW w:w="1308" w:type="dxa"/>
            <w:tcBorders>
              <w:top w:val="single" w:color="auto" w:sz="12" w:space="0"/>
              <w:left w:val="single" w:color="auto" w:sz="6"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破记录另加</w:t>
            </w:r>
          </w:p>
        </w:tc>
        <w:tc>
          <w:tcPr>
            <w:tcW w:w="944" w:type="dxa"/>
            <w:tcBorders>
              <w:top w:val="single" w:color="auto" w:sz="12" w:space="0"/>
              <w:left w:val="single" w:color="auto" w:sz="6"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第一名</w:t>
            </w:r>
          </w:p>
        </w:tc>
        <w:tc>
          <w:tcPr>
            <w:tcW w:w="902" w:type="dxa"/>
            <w:tcBorders>
              <w:top w:val="single" w:color="auto" w:sz="12" w:space="0"/>
              <w:left w:val="single" w:color="auto" w:sz="6"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第二名</w:t>
            </w:r>
          </w:p>
        </w:tc>
        <w:tc>
          <w:tcPr>
            <w:tcW w:w="898" w:type="dxa"/>
            <w:tcBorders>
              <w:top w:val="single" w:color="auto" w:sz="12" w:space="0"/>
              <w:left w:val="single" w:color="auto" w:sz="6"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第三名</w:t>
            </w:r>
          </w:p>
        </w:tc>
        <w:tc>
          <w:tcPr>
            <w:tcW w:w="900" w:type="dxa"/>
            <w:tcBorders>
              <w:top w:val="single" w:color="auto" w:sz="12" w:space="0"/>
              <w:left w:val="single" w:color="auto" w:sz="6"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第四名</w:t>
            </w:r>
          </w:p>
        </w:tc>
        <w:tc>
          <w:tcPr>
            <w:tcW w:w="856" w:type="dxa"/>
            <w:tcBorders>
              <w:top w:val="single" w:color="auto" w:sz="12" w:space="0"/>
              <w:left w:val="single" w:color="auto" w:sz="6"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第五名</w:t>
            </w:r>
          </w:p>
        </w:tc>
        <w:tc>
          <w:tcPr>
            <w:tcW w:w="852" w:type="dxa"/>
            <w:tcBorders>
              <w:top w:val="single" w:color="auto" w:sz="12" w:space="0"/>
              <w:left w:val="single" w:color="auto" w:sz="6" w:space="0"/>
              <w:bottom w:val="single" w:color="auto" w:sz="6" w:space="0"/>
              <w:right w:val="single" w:color="auto" w:sz="12" w:space="0"/>
            </w:tcBorders>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第六名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124" w:type="dxa"/>
            <w:tcBorders>
              <w:top w:val="single" w:color="auto" w:sz="6" w:space="0"/>
              <w:left w:val="single" w:color="auto" w:sz="12"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市级以上</w:t>
            </w:r>
          </w:p>
        </w:tc>
        <w:tc>
          <w:tcPr>
            <w:tcW w:w="1308" w:type="dxa"/>
            <w:tcBorders>
              <w:top w:val="single" w:color="auto" w:sz="6" w:space="0"/>
              <w:left w:val="single" w:color="auto" w:sz="6"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10</w:t>
            </w:r>
          </w:p>
        </w:tc>
        <w:tc>
          <w:tcPr>
            <w:tcW w:w="944" w:type="dxa"/>
            <w:tcBorders>
              <w:top w:val="single" w:color="auto" w:sz="6" w:space="0"/>
              <w:left w:val="single" w:color="auto" w:sz="6"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15</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10</w:t>
            </w:r>
          </w:p>
        </w:tc>
        <w:tc>
          <w:tcPr>
            <w:tcW w:w="2608" w:type="dxa"/>
            <w:gridSpan w:val="3"/>
            <w:tcBorders>
              <w:top w:val="single" w:color="auto" w:sz="6" w:space="0"/>
              <w:left w:val="single" w:color="auto" w:sz="6" w:space="0"/>
              <w:bottom w:val="single" w:color="auto" w:sz="6" w:space="0"/>
              <w:right w:val="single" w:color="auto" w:sz="12" w:space="0"/>
            </w:tcBorders>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124" w:type="dxa"/>
            <w:tcBorders>
              <w:top w:val="single" w:color="auto" w:sz="6" w:space="0"/>
              <w:left w:val="single" w:color="auto" w:sz="12" w:space="0"/>
              <w:bottom w:val="single" w:color="auto" w:sz="12" w:space="0"/>
              <w:right w:val="single" w:color="auto" w:sz="6" w:space="0"/>
            </w:tcBorders>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校级</w:t>
            </w:r>
          </w:p>
        </w:tc>
        <w:tc>
          <w:tcPr>
            <w:tcW w:w="1308" w:type="dxa"/>
            <w:tcBorders>
              <w:top w:val="single" w:color="auto" w:sz="6" w:space="0"/>
              <w:left w:val="single" w:color="auto" w:sz="6" w:space="0"/>
              <w:bottom w:val="single" w:color="auto" w:sz="12" w:space="0"/>
              <w:right w:val="single" w:color="auto" w:sz="6" w:space="0"/>
            </w:tcBorders>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2</w:t>
            </w:r>
          </w:p>
        </w:tc>
        <w:tc>
          <w:tcPr>
            <w:tcW w:w="944" w:type="dxa"/>
            <w:tcBorders>
              <w:top w:val="single" w:color="auto" w:sz="6" w:space="0"/>
              <w:left w:val="single" w:color="auto" w:sz="6" w:space="0"/>
              <w:bottom w:val="single" w:color="auto" w:sz="12" w:space="0"/>
              <w:right w:val="single" w:color="auto" w:sz="6" w:space="0"/>
            </w:tcBorders>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6</w:t>
            </w:r>
          </w:p>
        </w:tc>
        <w:tc>
          <w:tcPr>
            <w:tcW w:w="1800" w:type="dxa"/>
            <w:gridSpan w:val="2"/>
            <w:tcBorders>
              <w:top w:val="single" w:color="auto" w:sz="6" w:space="0"/>
              <w:left w:val="single" w:color="auto" w:sz="6" w:space="0"/>
              <w:bottom w:val="single" w:color="auto" w:sz="12" w:space="0"/>
              <w:right w:val="single" w:color="auto" w:sz="6" w:space="0"/>
            </w:tcBorders>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3</w:t>
            </w:r>
          </w:p>
        </w:tc>
        <w:tc>
          <w:tcPr>
            <w:tcW w:w="2608" w:type="dxa"/>
            <w:gridSpan w:val="3"/>
            <w:tcBorders>
              <w:top w:val="single" w:color="auto" w:sz="6" w:space="0"/>
              <w:left w:val="single" w:color="auto" w:sz="6" w:space="0"/>
              <w:bottom w:val="single" w:color="auto" w:sz="12" w:space="0"/>
              <w:right w:val="single" w:color="auto" w:sz="12" w:space="0"/>
            </w:tcBorders>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w:t>
            </w:r>
          </w:p>
        </w:tc>
      </w:tr>
    </w:tbl>
    <w:p>
      <w:pPr>
        <w:spacing w:line="440" w:lineRule="exact"/>
        <w:rPr>
          <w:rFonts w:ascii="宋体" w:hAnsi="宋体"/>
          <w:sz w:val="28"/>
          <w:szCs w:val="28"/>
        </w:rPr>
      </w:pPr>
    </w:p>
    <w:p>
      <w:pPr>
        <w:spacing w:line="440" w:lineRule="exact"/>
        <w:jc w:val="center"/>
        <w:rPr>
          <w:b/>
          <w:sz w:val="28"/>
          <w:szCs w:val="28"/>
        </w:rPr>
      </w:pPr>
      <w:r>
        <w:rPr>
          <w:rFonts w:hint="eastAsia"/>
          <w:b/>
          <w:sz w:val="28"/>
          <w:szCs w:val="28"/>
        </w:rPr>
        <w:t>表八：文娱演出、竞赛分标准</w:t>
      </w:r>
    </w:p>
    <w:tbl>
      <w:tblPr>
        <w:tblStyle w:val="3"/>
        <w:tblW w:w="78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8"/>
        <w:gridCol w:w="1620"/>
        <w:gridCol w:w="1620"/>
        <w:gridCol w:w="1440"/>
        <w:gridCol w:w="14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 w:hRule="atLeast"/>
          <w:jc w:val="center"/>
        </w:trPr>
        <w:tc>
          <w:tcPr>
            <w:tcW w:w="1678" w:type="dxa"/>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等</w:t>
            </w:r>
            <w:r>
              <w:rPr>
                <w:rFonts w:hint="eastAsia" w:ascii="Times New Roman" w:hAnsi="Times New Roman"/>
                <w:b/>
                <w:sz w:val="21"/>
                <w:szCs w:val="21"/>
              </w:rPr>
              <w:t xml:space="preserve"> </w:t>
            </w:r>
            <w:r>
              <w:rPr>
                <w:rFonts w:ascii="Times New Roman" w:hAnsi="Times New Roman"/>
                <w:b/>
                <w:sz w:val="21"/>
                <w:szCs w:val="21"/>
              </w:rPr>
              <w:t>级</w:t>
            </w:r>
          </w:p>
        </w:tc>
        <w:tc>
          <w:tcPr>
            <w:tcW w:w="1620" w:type="dxa"/>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一等奖</w:t>
            </w:r>
          </w:p>
        </w:tc>
        <w:tc>
          <w:tcPr>
            <w:tcW w:w="1620" w:type="dxa"/>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二等奖</w:t>
            </w:r>
          </w:p>
        </w:tc>
        <w:tc>
          <w:tcPr>
            <w:tcW w:w="1440" w:type="dxa"/>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三等奖</w:t>
            </w:r>
          </w:p>
        </w:tc>
        <w:tc>
          <w:tcPr>
            <w:tcW w:w="1443" w:type="dxa"/>
            <w:vAlign w:val="center"/>
          </w:tcPr>
          <w:p>
            <w:pPr>
              <w:pStyle w:val="5"/>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其他奖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1678"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市级以上</w:t>
            </w:r>
          </w:p>
        </w:tc>
        <w:tc>
          <w:tcPr>
            <w:tcW w:w="162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15</w:t>
            </w:r>
          </w:p>
        </w:tc>
        <w:tc>
          <w:tcPr>
            <w:tcW w:w="162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10</w:t>
            </w:r>
          </w:p>
        </w:tc>
        <w:tc>
          <w:tcPr>
            <w:tcW w:w="144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8</w:t>
            </w:r>
          </w:p>
        </w:tc>
        <w:tc>
          <w:tcPr>
            <w:tcW w:w="1443"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 w:hRule="atLeast"/>
          <w:jc w:val="center"/>
        </w:trPr>
        <w:tc>
          <w:tcPr>
            <w:tcW w:w="1678"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校级</w:t>
            </w:r>
          </w:p>
        </w:tc>
        <w:tc>
          <w:tcPr>
            <w:tcW w:w="162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6</w:t>
            </w:r>
          </w:p>
        </w:tc>
        <w:tc>
          <w:tcPr>
            <w:tcW w:w="162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4</w:t>
            </w:r>
          </w:p>
        </w:tc>
        <w:tc>
          <w:tcPr>
            <w:tcW w:w="1440"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3</w:t>
            </w:r>
          </w:p>
        </w:tc>
        <w:tc>
          <w:tcPr>
            <w:tcW w:w="1443" w:type="dxa"/>
            <w:vAlign w:val="center"/>
          </w:tcPr>
          <w:p>
            <w:pPr>
              <w:pStyle w:val="5"/>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2</w:t>
            </w:r>
          </w:p>
        </w:tc>
      </w:tr>
    </w:tbl>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注：1．体育成绩总分不超过100分；</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2．啦啦操、太极拳等加分标准参照表七，其他未列出的比赛项目，比照表内标准酌情加分，但须经各学院审核同意后方可加分；</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3．所有竞赛加分均须提供相关证明材料；</w:t>
      </w:r>
    </w:p>
    <w:p>
      <w:pPr>
        <w:keepNext w:val="0"/>
        <w:keepLines w:val="0"/>
        <w:pageBreakBefore w:val="0"/>
        <w:widowControl w:val="0"/>
        <w:kinsoku/>
        <w:wordWrap/>
        <w:overflowPunct/>
        <w:topLinePunct w:val="0"/>
        <w:autoSpaceDE/>
        <w:autoSpaceDN/>
        <w:bidi w:val="0"/>
        <w:adjustRightInd w:val="0"/>
        <w:snapToGrid w:val="0"/>
        <w:spacing w:line="460" w:lineRule="exact"/>
        <w:ind w:firstLine="1280" w:firstLineChars="4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4．同一竞赛项目以最高项加分，不累加。</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Calibri" w:eastAsia="仿宋_GB2312"/>
          <w:b/>
          <w:bCs/>
          <w:color w:val="000000"/>
          <w:sz w:val="32"/>
          <w:szCs w:val="32"/>
          <w:lang w:eastAsia="zh-CN"/>
        </w:rPr>
      </w:pPr>
      <w:r>
        <w:rPr>
          <w:rFonts w:hint="eastAsia" w:ascii="仿宋_GB2312" w:hAnsi="Calibri" w:eastAsia="仿宋_GB2312"/>
          <w:b/>
          <w:bCs/>
          <w:color w:val="000000"/>
          <w:sz w:val="32"/>
          <w:szCs w:val="32"/>
          <w:lang w:eastAsia="zh-CN"/>
        </w:rPr>
        <w:t>五、组织领导和实施方法</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（一）综合测评由学生工作处负责指导，各学院负责组织实施。</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（二）各学院要成立学生综合测评领导小组，加强对综合测评工作的领导，抓好测评工作。</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（三）各班要成立由辅导员主持，班长、团支部书记、学生代表组成的综合测评小组，负责本班级学生综合测评工作。</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（四）为了做好综合测评工作，各班应建立健全学生平时表现的原始材料的搜集、整理、考核、管理制度，由辅导员、学生干部将学生信息及时记录。</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（五）综合测评每学期进行一次，一学年综合测评成绩取两学期测评成绩的平均值。开展综合测评工作时，要在全体学生中进行一次动员，让每个学生了解测评办法，理解测评意义。</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（六）测评工作程序</w:t>
      </w:r>
    </w:p>
    <w:p>
      <w:pPr>
        <w:keepNext w:val="0"/>
        <w:keepLines w:val="0"/>
        <w:pageBreakBefore w:val="0"/>
        <w:widowControl w:val="0"/>
        <w:kinsoku/>
        <w:wordWrap/>
        <w:overflowPunct/>
        <w:topLinePunct w:val="0"/>
        <w:autoSpaceDE/>
        <w:autoSpaceDN/>
        <w:bidi w:val="0"/>
        <w:adjustRightInd w:val="0"/>
        <w:snapToGrid w:val="0"/>
        <w:spacing w:line="460" w:lineRule="exact"/>
        <w:ind w:firstLine="960" w:firstLineChars="3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1．个人申报：学生本人填写《上外贤达学院学生德智体综合测评表》，提交至班级综合测评小组。</w:t>
      </w:r>
    </w:p>
    <w:p>
      <w:pPr>
        <w:keepNext w:val="0"/>
        <w:keepLines w:val="0"/>
        <w:pageBreakBefore w:val="0"/>
        <w:widowControl w:val="0"/>
        <w:kinsoku/>
        <w:wordWrap/>
        <w:overflowPunct/>
        <w:topLinePunct w:val="0"/>
        <w:autoSpaceDE/>
        <w:autoSpaceDN/>
        <w:bidi w:val="0"/>
        <w:adjustRightInd w:val="0"/>
        <w:snapToGrid w:val="0"/>
        <w:spacing w:line="460" w:lineRule="exact"/>
        <w:ind w:firstLine="960" w:firstLineChars="3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2．班级考评：由各班成立的综合测评小组参考本班学生平时表现记载，依据本办法进行审核、测评、汇总、排名，并填写《上外贤达学院学生德智体综合测评表》。</w:t>
      </w:r>
    </w:p>
    <w:p>
      <w:pPr>
        <w:keepNext w:val="0"/>
        <w:keepLines w:val="0"/>
        <w:pageBreakBefore w:val="0"/>
        <w:widowControl w:val="0"/>
        <w:kinsoku/>
        <w:wordWrap/>
        <w:overflowPunct/>
        <w:topLinePunct w:val="0"/>
        <w:autoSpaceDE/>
        <w:autoSpaceDN/>
        <w:bidi w:val="0"/>
        <w:adjustRightInd w:val="0"/>
        <w:snapToGrid w:val="0"/>
        <w:spacing w:line="460" w:lineRule="exact"/>
        <w:ind w:firstLine="960" w:firstLineChars="3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3．公示和上报：综合测评结果应在班级内部进行公示，如无异议，经班级考评小组签名确认后上报学院测评领导小组；经审核汇总，在学院范围内公示，公示无异议，上报学生工作处；由学生工作处组织复查并将复查结果公布。如果学生对测评结果有异议，可向学生工作处反映。</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（七）凡在综合测评中弄虚作假者，一经查实，取消其参评学年奖学金的资格；并视其情节轻重，在其综合测评成绩中扣5-10分。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Calibri" w:eastAsia="仿宋_GB2312"/>
          <w:b/>
          <w:bCs/>
          <w:color w:val="000000"/>
          <w:sz w:val="32"/>
          <w:szCs w:val="32"/>
          <w:lang w:eastAsia="zh-CN"/>
        </w:rPr>
      </w:pPr>
      <w:r>
        <w:rPr>
          <w:rFonts w:hint="eastAsia" w:ascii="仿宋_GB2312" w:hAnsi="Calibri" w:eastAsia="仿宋_GB2312"/>
          <w:b/>
          <w:bCs/>
          <w:color w:val="000000"/>
          <w:sz w:val="32"/>
          <w:szCs w:val="32"/>
          <w:lang w:eastAsia="zh-CN"/>
        </w:rPr>
        <w:t>六、附则</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一）各学院可根据本院专业特点、学生人数等实际情况，根据本办法的相关条款制定具体实施细则，或在具体操作中对个别项目的加减分提出统一意见，并向本院学生公布，同时做好解释工作，报学生工作处备案。</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（二）本办法各考核条文中未包括的其他情况可参照本办法中相近条款执行。</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（三）本办法自发布之日起实施。此前颁布的有关办法条文与本办法相悖的，以本办法为准。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z w:val="32"/>
          <w:szCs w:val="32"/>
          <w:lang w:eastAsia="zh-CN"/>
        </w:rPr>
      </w:pPr>
      <w:r>
        <w:rPr>
          <w:rFonts w:hint="eastAsia" w:ascii="仿宋_GB2312" w:hAnsi="Calibri" w:eastAsia="仿宋_GB2312"/>
          <w:color w:val="000000"/>
          <w:sz w:val="32"/>
          <w:szCs w:val="32"/>
          <w:lang w:eastAsia="zh-CN"/>
        </w:rPr>
        <w:t>（四）本办法解释权属学生工作处。</w:t>
      </w:r>
    </w:p>
    <w:p>
      <w:pPr>
        <w:keepNext w:val="0"/>
        <w:keepLines w:val="0"/>
        <w:pageBreakBefore w:val="0"/>
        <w:widowControl w:val="0"/>
        <w:kinsoku/>
        <w:wordWrap/>
        <w:overflowPunct/>
        <w:topLinePunct w:val="0"/>
        <w:autoSpaceDE/>
        <w:autoSpaceDN/>
        <w:bidi w:val="0"/>
        <w:adjustRightInd w:val="0"/>
        <w:snapToGrid w:val="0"/>
        <w:spacing w:line="460" w:lineRule="exact"/>
        <w:ind w:firstLine="320" w:firstLineChars="100"/>
        <w:textAlignment w:val="auto"/>
        <w:rPr>
          <w:rFonts w:hint="eastAsia" w:ascii="仿宋_GB2312" w:hAnsi="Calibri" w:eastAsia="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Calibri" w:eastAsia="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Calibri" w:eastAsia="仿宋_GB2312"/>
          <w:color w:val="000000"/>
          <w:sz w:val="32"/>
          <w:szCs w:val="32"/>
          <w:lang w:eastAsia="zh-CN"/>
        </w:rPr>
      </w:pPr>
    </w:p>
    <w:p>
      <w:pPr>
        <w:adjustRightInd w:val="0"/>
        <w:snapToGrid w:val="0"/>
        <w:spacing w:line="4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上海外国语大学贤达经济人文学院</w:t>
      </w:r>
    </w:p>
    <w:p>
      <w:pPr>
        <w:spacing w:line="480" w:lineRule="exact"/>
        <w:jc w:val="center"/>
        <w:rPr>
          <w:rFonts w:ascii="仿宋_GB2312" w:eastAsia="仿宋_GB2312"/>
          <w:color w:val="000000"/>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p>
    <w:p>
      <w:pPr>
        <w:spacing w:line="460" w:lineRule="exact"/>
        <w:ind w:firstLine="736" w:firstLineChars="200"/>
        <w:rPr>
          <w:rFonts w:hint="eastAsia" w:ascii="仿宋_GB2312" w:hAnsi="宋体" w:eastAsia="仿宋_GB2312" w:cs="MS Shell Dlg"/>
          <w:color w:val="000000"/>
          <w:spacing w:val="24"/>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exact"/>
        <w:ind w:firstLine="320" w:firstLineChars="100"/>
        <w:textAlignment w:val="auto"/>
        <w:rPr>
          <w:rFonts w:hint="eastAsia" w:ascii="仿宋_GB2312" w:hAnsi="Calibri" w:eastAsia="仿宋_GB2312"/>
          <w:color w:val="000000"/>
          <w:sz w:val="32"/>
          <w:szCs w:val="32"/>
          <w:lang w:eastAsia="zh-CN"/>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rPr>
          <w:rFonts w:ascii="仿宋_GB2312" w:hAnsi="宋体" w:eastAsia="仿宋_GB2312"/>
          <w:bCs/>
          <w:kern w:val="0"/>
          <w:sz w:val="32"/>
          <w:szCs w:val="32"/>
        </w:rPr>
      </w:pPr>
      <w:r>
        <w:rPr>
          <w:rFonts w:ascii="仿宋_GB2312" w:hAnsi="宋体" w:eastAsia="仿宋_GB2312"/>
          <w:bCs/>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-2540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0.2pt;height:0pt;width:423pt;z-index:251660288;mso-width-relative:page;mso-height-relative:page;" filled="f" stroked="t" coordsize="21600,21600" o:gfxdata="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3QdRPTAAAABwEAAA8A&#10;AAAAAAAAAQAgAAAAIgAAAGRycy9kb3ducmV2LnhtbFBLAQIUABQAAAAIAIdO4kAgFV6v4wEAAKAD&#10;AAAOAAAAAAAAAAEAIAAAACIBAABkcnMvZTJvRG9jLnhtbFBLBQYAAAAABgAGAFkBAAB3BQAAAAA=&#10;">
                <v:fill on="f" focussize="0,0"/>
                <v:stroke color="#000000" joinstyle="round"/>
                <v:imagedata o:title=""/>
                <o:lock v:ext="edit" aspectratio="f"/>
              </v:line>
            </w:pict>
          </mc:Fallback>
        </mc:AlternateContent>
      </w:r>
      <w:r>
        <w:rPr>
          <w:rFonts w:hint="eastAsia" w:ascii="仿宋_GB2312" w:hAnsi="宋体" w:eastAsia="仿宋_GB2312"/>
          <w:bCs/>
          <w:kern w:val="0"/>
          <w:sz w:val="32"/>
          <w:szCs w:val="32"/>
        </w:rPr>
        <w:t>抄  送：董事长、校领导</w:t>
      </w:r>
    </w:p>
    <w:p>
      <w:pPr>
        <w:adjustRightInd w:val="0"/>
        <w:snapToGrid w:val="0"/>
        <w:spacing w:line="440" w:lineRule="exact"/>
      </w:pPr>
      <w:r>
        <w:rPr>
          <w:rFonts w:ascii="仿宋_GB2312" w:hAnsi="宋体" w:eastAsia="仿宋_GB2312" w:cstheme="minorBidi"/>
          <w:bCs/>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411480</wp:posOffset>
                </wp:positionV>
                <wp:extent cx="5372100" cy="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32.4pt;height:0pt;width:423pt;z-index:251661312;mso-width-relative:page;mso-height-relative:page;" filled="f" stroked="t" coordsize="21600,21600" o:gfxdata="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mah+dUAAAAJAQAADwAA&#10;AAAAAAABACAAAAAiAAAAZHJzL2Rvd25yZXYueG1sUEsBAhQAFAAAAAgAh07iQDyIgY3gAQAAoAMA&#10;AA4AAAAAAAAAAQAgAAAAJAEAAGRycy9lMm9Eb2MueG1sUEsFBgAAAAAGAAYAWQEAAHYFAAAAAA==&#10;">
                <v:fill on="f" focussize="0,0"/>
                <v:stroke color="#000000" joinstyle="round"/>
                <v:imagedata o:title=""/>
                <o:lock v:ext="edit" aspectratio="f"/>
              </v:line>
            </w:pict>
          </mc:Fallback>
        </mc:AlternateContent>
      </w:r>
      <w:r>
        <w:rPr>
          <w:rFonts w:ascii="仿宋_GB2312" w:hAnsi="宋体" w:eastAsia="仿宋_GB2312" w:cstheme="minorBidi"/>
          <w:bCs/>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33020</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2.6pt;height:0pt;width:423pt;z-index:251662336;mso-width-relative:page;mso-height-relative:page;" filled="f" stroked="t" coordsize="21600,21600" o:gfxdata="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D4Ku0wAAAAcBAAAP&#10;AAAAAAAAAAEAIAAAACIAAABkcnMvZG93bnJldi54bWxQSwECFAAUAAAACACHTuJA62PEB+QBAACg&#10;AwAADgAAAAAAAAABACAAAAAiAQAAZHJzL2Uyb0RvYy54bWxQSwUGAAAAAAYABgBZAQAAeAUAAAAA&#10;">
                <v:fill on="f" focussize="0,0"/>
                <v:stroke color="#000000" joinstyle="round"/>
                <v:imagedata o:title=""/>
                <o:lock v:ext="edit" aspectratio="f"/>
              </v:line>
            </w:pict>
          </mc:Fallback>
        </mc:AlternateContent>
      </w:r>
      <w:r>
        <w:rPr>
          <w:rFonts w:hint="eastAsia" w:ascii="仿宋_GB2312" w:hAnsi="宋体" w:eastAsia="仿宋_GB2312" w:cs="宋体"/>
          <w:kern w:val="0"/>
          <w:sz w:val="32"/>
          <w:szCs w:val="32"/>
        </w:rPr>
        <w:t>上外贤达学院校长办公室          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highlight w:val="none"/>
        </w:rPr>
        <w:t>日</w:t>
      </w:r>
      <w:r>
        <w:rPr>
          <w:rFonts w:hint="eastAsia" w:ascii="仿宋_GB2312" w:hAnsi="宋体" w:eastAsia="仿宋_GB2312" w:cs="宋体"/>
          <w:kern w:val="0"/>
          <w:sz w:val="32"/>
          <w:szCs w:val="32"/>
        </w:rPr>
        <w:t>印发</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52A45"/>
    <w:rsid w:val="00690E14"/>
    <w:rsid w:val="016E687E"/>
    <w:rsid w:val="01C41CEE"/>
    <w:rsid w:val="028A2EA3"/>
    <w:rsid w:val="082B4C06"/>
    <w:rsid w:val="0D7676DA"/>
    <w:rsid w:val="0EC72375"/>
    <w:rsid w:val="12371148"/>
    <w:rsid w:val="14261252"/>
    <w:rsid w:val="1CD90A6F"/>
    <w:rsid w:val="22147337"/>
    <w:rsid w:val="23584CC3"/>
    <w:rsid w:val="27ED0291"/>
    <w:rsid w:val="28B107A0"/>
    <w:rsid w:val="319D7402"/>
    <w:rsid w:val="38905BE3"/>
    <w:rsid w:val="3C845C1A"/>
    <w:rsid w:val="41E76FBD"/>
    <w:rsid w:val="4AE70277"/>
    <w:rsid w:val="4EEB7093"/>
    <w:rsid w:val="4F663B08"/>
    <w:rsid w:val="525209AB"/>
    <w:rsid w:val="58131D96"/>
    <w:rsid w:val="5D8120C3"/>
    <w:rsid w:val="639639E4"/>
    <w:rsid w:val="6ADC10F0"/>
    <w:rsid w:val="6DD824BB"/>
    <w:rsid w:val="6E656EEC"/>
    <w:rsid w:val="720A5BA7"/>
    <w:rsid w:val="72494B23"/>
    <w:rsid w:val="797D70A1"/>
    <w:rsid w:val="7B7B4BC9"/>
    <w:rsid w:val="7F071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tabs>
        <w:tab w:val="right" w:pos="900"/>
        <w:tab w:val="left" w:pos="935"/>
        <w:tab w:val="right" w:leader="middleDot" w:pos="9639"/>
      </w:tabs>
      <w:ind w:firstLine="420" w:firstLineChars="200"/>
    </w:pPr>
    <w:rPr>
      <w:szCs w:val="21"/>
    </w:rPr>
  </w:style>
  <w:style w:type="paragraph" w:customStyle="1" w:styleId="5">
    <w:name w:val="style7"/>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2019-08-30T06:21:00Z</dcterms:created>
  <dc:creator>User</dc:creator>
  <cp:lastModifiedBy>lenovo</cp:lastModifiedBy>
  <cp:lastPrinted>2019-09-04T01:43:00Z</cp:lastPrinted>
  <dcterms:modified xsi:type="dcterms:W3CDTF">2019-09-10T12:19:15Z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